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3780" w14:textId="77777777" w:rsidR="00A32874" w:rsidRDefault="00A32874" w:rsidP="00A32874">
      <w:pPr>
        <w:pStyle w:val="Heading1"/>
      </w:pPr>
      <w:bookmarkStart w:id="0" w:name="_Toc179937630"/>
      <w:r>
        <w:t>ABSTRAK</w:t>
      </w:r>
      <w:bookmarkEnd w:id="0"/>
    </w:p>
    <w:p w14:paraId="6DB2E763" w14:textId="77777777" w:rsidR="00A32874" w:rsidRPr="003C4F60" w:rsidRDefault="00A32874" w:rsidP="00A32874">
      <w:pPr>
        <w:spacing w:after="0" w:line="240" w:lineRule="auto"/>
      </w:pPr>
    </w:p>
    <w:p w14:paraId="0363C285" w14:textId="77777777" w:rsidR="00A32874" w:rsidRPr="00230712" w:rsidRDefault="00A32874" w:rsidP="00A32874">
      <w:pPr>
        <w:tabs>
          <w:tab w:val="left" w:pos="7371"/>
        </w:tabs>
        <w:spacing w:after="0" w:line="240" w:lineRule="auto"/>
        <w:ind w:right="49"/>
        <w:jc w:val="both"/>
        <w:rPr>
          <w:rFonts w:eastAsiaTheme="majorEastAsia" w:cstheme="majorBidi"/>
          <w:bCs/>
          <w:szCs w:val="32"/>
        </w:rPr>
      </w:pPr>
      <w:r w:rsidRPr="00230712">
        <w:rPr>
          <w:rFonts w:eastAsiaTheme="majorEastAsia" w:cstheme="majorBidi"/>
          <w:bCs/>
          <w:szCs w:val="32"/>
        </w:rPr>
        <w:t>RIKA KURNIA NINGRUM (</w:t>
      </w:r>
      <w:r>
        <w:rPr>
          <w:rFonts w:eastAsiaTheme="majorEastAsia" w:cstheme="majorBidi"/>
          <w:bCs/>
          <w:szCs w:val="32"/>
        </w:rPr>
        <w:t xml:space="preserve"> </w:t>
      </w:r>
      <w:r w:rsidRPr="00230712">
        <w:rPr>
          <w:rFonts w:eastAsiaTheme="majorEastAsia" w:cstheme="majorBidi"/>
          <w:bCs/>
          <w:szCs w:val="32"/>
        </w:rPr>
        <w:t>206</w:t>
      </w:r>
      <w:r>
        <w:rPr>
          <w:rFonts w:eastAsiaTheme="majorEastAsia" w:cstheme="majorBidi"/>
          <w:bCs/>
          <w:szCs w:val="32"/>
        </w:rPr>
        <w:t>1</w:t>
      </w:r>
      <w:r w:rsidRPr="00230712">
        <w:rPr>
          <w:rFonts w:eastAsiaTheme="majorEastAsia" w:cstheme="majorBidi"/>
          <w:bCs/>
          <w:szCs w:val="32"/>
        </w:rPr>
        <w:t>201240</w:t>
      </w:r>
      <w:r>
        <w:rPr>
          <w:rFonts w:eastAsiaTheme="majorEastAsia" w:cstheme="majorBidi"/>
          <w:bCs/>
          <w:szCs w:val="32"/>
        </w:rPr>
        <w:t xml:space="preserve"> </w:t>
      </w:r>
      <w:r w:rsidRPr="00230712">
        <w:rPr>
          <w:rFonts w:eastAsiaTheme="majorEastAsia" w:cstheme="majorBidi"/>
          <w:bCs/>
          <w:szCs w:val="32"/>
        </w:rPr>
        <w:t>) Pengaruh NPL, LDR dan BOPO Terhadap ROA Pada Bank Himbara Periode 2019-2023. Dibawah Bimbingan YENI OKTAVIANI</w:t>
      </w:r>
    </w:p>
    <w:p w14:paraId="252A1E0B" w14:textId="77777777" w:rsidR="00A32874" w:rsidRPr="00230712" w:rsidRDefault="00A32874" w:rsidP="00A32874">
      <w:pPr>
        <w:spacing w:after="0" w:line="240" w:lineRule="auto"/>
        <w:ind w:right="49"/>
        <w:jc w:val="both"/>
        <w:rPr>
          <w:rFonts w:eastAsiaTheme="majorEastAsia" w:cstheme="majorBidi"/>
          <w:bCs/>
          <w:szCs w:val="32"/>
        </w:rPr>
      </w:pPr>
    </w:p>
    <w:p w14:paraId="5BCF4889" w14:textId="77777777" w:rsidR="00A32874" w:rsidRDefault="00A32874" w:rsidP="00A32874">
      <w:pPr>
        <w:spacing w:after="0" w:line="240" w:lineRule="auto"/>
        <w:ind w:right="49"/>
        <w:jc w:val="both"/>
        <w:rPr>
          <w:rFonts w:eastAsiaTheme="majorEastAsia" w:cstheme="majorBidi"/>
          <w:bCs/>
          <w:szCs w:val="32"/>
        </w:rPr>
      </w:pPr>
      <w:r w:rsidRPr="00230712">
        <w:rPr>
          <w:rFonts w:eastAsiaTheme="majorEastAsia" w:cstheme="majorBidi"/>
          <w:bCs/>
          <w:szCs w:val="32"/>
        </w:rPr>
        <w:t xml:space="preserve">Tujuan penelitian ini adalah menganalisis </w:t>
      </w:r>
      <w:r w:rsidRPr="00E657B2">
        <w:rPr>
          <w:rFonts w:eastAsiaTheme="majorEastAsia" w:cstheme="majorBidi"/>
          <w:bCs/>
          <w:i/>
          <w:iCs/>
          <w:szCs w:val="32"/>
        </w:rPr>
        <w:t>Return On Assets</w:t>
      </w:r>
      <w:r w:rsidRPr="00230712">
        <w:rPr>
          <w:rFonts w:eastAsiaTheme="majorEastAsia" w:cstheme="majorBidi"/>
          <w:bCs/>
          <w:szCs w:val="32"/>
        </w:rPr>
        <w:t xml:space="preserve"> pada Bank</w:t>
      </w:r>
      <w:r>
        <w:rPr>
          <w:rFonts w:eastAsiaTheme="majorEastAsia" w:cstheme="majorBidi"/>
          <w:bCs/>
          <w:szCs w:val="32"/>
        </w:rPr>
        <w:t xml:space="preserve"> </w:t>
      </w:r>
      <w:r w:rsidRPr="00230712">
        <w:rPr>
          <w:rFonts w:eastAsiaTheme="majorEastAsia" w:cstheme="majorBidi"/>
          <w:bCs/>
          <w:szCs w:val="32"/>
        </w:rPr>
        <w:t xml:space="preserve">Himbara dari tahun 2019 sampai tahun 2023. Analisis </w:t>
      </w:r>
      <w:r w:rsidRPr="00E657B2">
        <w:rPr>
          <w:rFonts w:eastAsiaTheme="majorEastAsia" w:cstheme="majorBidi"/>
          <w:bCs/>
          <w:i/>
          <w:iCs/>
          <w:szCs w:val="32"/>
        </w:rPr>
        <w:t>Return On Assets</w:t>
      </w:r>
      <w:r w:rsidRPr="00230712">
        <w:rPr>
          <w:rFonts w:eastAsiaTheme="majorEastAsia" w:cstheme="majorBidi"/>
          <w:b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 xml:space="preserve">(ROA) </w:t>
      </w:r>
      <w:r w:rsidRPr="00230712">
        <w:rPr>
          <w:rFonts w:eastAsiaTheme="majorEastAsia" w:cstheme="majorBidi"/>
          <w:bCs/>
          <w:szCs w:val="32"/>
        </w:rPr>
        <w:t xml:space="preserve">dilakukan terhadap </w:t>
      </w:r>
      <w:r w:rsidRPr="00990CAB">
        <w:rPr>
          <w:rFonts w:eastAsiaTheme="majorEastAsia" w:cstheme="majorBidi"/>
          <w:bCs/>
          <w:i/>
          <w:iCs/>
          <w:szCs w:val="32"/>
        </w:rPr>
        <w:t>Non Performing Loan</w:t>
      </w:r>
      <w:r>
        <w:rPr>
          <w:rFonts w:eastAsiaTheme="majorEastAsia" w:cstheme="majorBidi"/>
          <w:bCs/>
          <w:i/>
          <w:i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>(NPL)</w:t>
      </w:r>
      <w:r w:rsidRPr="00990CAB">
        <w:rPr>
          <w:rFonts w:eastAsiaTheme="majorEastAsia" w:cstheme="majorBidi"/>
          <w:bCs/>
          <w:i/>
          <w:iCs/>
          <w:szCs w:val="32"/>
        </w:rPr>
        <w:t>, Loan to Deposit Ratio</w:t>
      </w:r>
      <w:r>
        <w:rPr>
          <w:rFonts w:eastAsiaTheme="majorEastAsia" w:cstheme="majorBidi"/>
          <w:bCs/>
          <w:i/>
          <w:i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>(LDR)</w:t>
      </w:r>
      <w:r w:rsidRPr="00990CAB">
        <w:rPr>
          <w:rFonts w:eastAsiaTheme="majorEastAsia" w:cstheme="majorBidi"/>
          <w:bCs/>
          <w:i/>
          <w:iCs/>
          <w:szCs w:val="32"/>
        </w:rPr>
        <w:t xml:space="preserve">, </w:t>
      </w:r>
      <w:r w:rsidRPr="00B2330D">
        <w:rPr>
          <w:rFonts w:eastAsiaTheme="majorEastAsia" w:cstheme="majorBidi"/>
          <w:bCs/>
          <w:szCs w:val="32"/>
        </w:rPr>
        <w:t>dan</w:t>
      </w:r>
      <w:r w:rsidRPr="00990CAB">
        <w:rPr>
          <w:rFonts w:eastAsiaTheme="majorEastAsia" w:cstheme="majorBidi"/>
          <w:bCs/>
          <w:i/>
          <w:iCs/>
          <w:szCs w:val="32"/>
        </w:rPr>
        <w:t xml:space="preserve"> </w:t>
      </w:r>
      <w:r w:rsidRPr="007B6D5D">
        <w:rPr>
          <w:rFonts w:eastAsiaTheme="majorEastAsia" w:cstheme="majorBidi"/>
          <w:bCs/>
          <w:szCs w:val="32"/>
        </w:rPr>
        <w:t>Biaya Operasional terhadap Pendapatan Operasional</w:t>
      </w:r>
      <w:r>
        <w:rPr>
          <w:rFonts w:eastAsiaTheme="majorEastAsia" w:cstheme="majorBidi"/>
          <w:bCs/>
          <w:szCs w:val="32"/>
        </w:rPr>
        <w:t xml:space="preserve"> (BOPO)</w:t>
      </w:r>
      <w:r w:rsidRPr="00230712">
        <w:rPr>
          <w:rFonts w:eastAsiaTheme="majorEastAsia" w:cstheme="majorBidi"/>
          <w:bCs/>
          <w:szCs w:val="32"/>
        </w:rPr>
        <w:t>. Analisis data menggunakan pendekatan kuantitatif. Penelitian ini menggunakan sumber data sekunder dari laporan keuangan triwulan.</w:t>
      </w:r>
      <w:r>
        <w:rPr>
          <w:rFonts w:eastAsiaTheme="majorEastAsia" w:cstheme="majorBidi"/>
          <w:bCs/>
          <w:szCs w:val="32"/>
        </w:rPr>
        <w:t xml:space="preserve"> </w:t>
      </w:r>
      <w:r w:rsidRPr="00230712">
        <w:rPr>
          <w:rFonts w:eastAsiaTheme="majorEastAsia" w:cstheme="majorBidi"/>
          <w:bCs/>
          <w:szCs w:val="32"/>
        </w:rPr>
        <w:t xml:space="preserve">Hasil penelitian dengan menggunakan alat analisis </w:t>
      </w:r>
      <w:r>
        <w:rPr>
          <w:rFonts w:eastAsiaTheme="majorEastAsia" w:cstheme="majorBidi"/>
          <w:bCs/>
          <w:szCs w:val="32"/>
        </w:rPr>
        <w:t>S</w:t>
      </w:r>
      <w:r w:rsidRPr="00230712">
        <w:rPr>
          <w:rFonts w:eastAsiaTheme="majorEastAsia" w:cstheme="majorBidi"/>
          <w:bCs/>
          <w:szCs w:val="32"/>
        </w:rPr>
        <w:t>oftware Eviews</w:t>
      </w:r>
      <w:r>
        <w:rPr>
          <w:rFonts w:eastAsiaTheme="majorEastAsia" w:cstheme="majorBidi"/>
          <w:bCs/>
          <w:szCs w:val="32"/>
        </w:rPr>
        <w:t xml:space="preserve"> Versi</w:t>
      </w:r>
      <w:r w:rsidRPr="00230712">
        <w:rPr>
          <w:rFonts w:eastAsiaTheme="majorEastAsia" w:cstheme="majorBidi"/>
          <w:bCs/>
          <w:szCs w:val="32"/>
        </w:rPr>
        <w:t xml:space="preserve"> 12 ditemukan bahwa secara parsial </w:t>
      </w:r>
      <w:r w:rsidRPr="00990CAB">
        <w:rPr>
          <w:rFonts w:eastAsiaTheme="majorEastAsia" w:cstheme="majorBidi"/>
          <w:bCs/>
          <w:i/>
          <w:iCs/>
          <w:szCs w:val="32"/>
        </w:rPr>
        <w:t>Non Performing Loan</w:t>
      </w:r>
      <w:r>
        <w:rPr>
          <w:rFonts w:eastAsiaTheme="majorEastAsia" w:cstheme="majorBidi"/>
          <w:bCs/>
          <w:szCs w:val="32"/>
        </w:rPr>
        <w:t xml:space="preserve"> (NPL)</w:t>
      </w:r>
      <w:r w:rsidRPr="00230712">
        <w:rPr>
          <w:rFonts w:eastAsiaTheme="majorEastAsia" w:cstheme="majorBidi"/>
          <w:bCs/>
          <w:szCs w:val="32"/>
        </w:rPr>
        <w:t xml:space="preserve"> tidak berpengaruh terhadap </w:t>
      </w:r>
      <w:r w:rsidRPr="00990CAB">
        <w:rPr>
          <w:rFonts w:eastAsiaTheme="majorEastAsia" w:cstheme="majorBidi"/>
          <w:bCs/>
          <w:i/>
          <w:iCs/>
          <w:szCs w:val="32"/>
        </w:rPr>
        <w:t>Return On Assets</w:t>
      </w:r>
      <w:r>
        <w:rPr>
          <w:rFonts w:eastAsiaTheme="majorEastAsia" w:cstheme="majorBidi"/>
          <w:bCs/>
          <w:szCs w:val="32"/>
        </w:rPr>
        <w:t xml:space="preserve"> (ROA)</w:t>
      </w:r>
      <w:r w:rsidRPr="00230712">
        <w:rPr>
          <w:rFonts w:eastAsiaTheme="majorEastAsia" w:cstheme="majorBidi"/>
          <w:bCs/>
          <w:szCs w:val="32"/>
        </w:rPr>
        <w:t xml:space="preserve"> pada Bank Himbara dengan nilai t 0.670. </w:t>
      </w:r>
      <w:r w:rsidRPr="00990CAB">
        <w:rPr>
          <w:rFonts w:eastAsiaTheme="majorEastAsia" w:cstheme="majorBidi"/>
          <w:bCs/>
          <w:i/>
          <w:iCs/>
          <w:szCs w:val="32"/>
        </w:rPr>
        <w:t>Loan to Deposit Ratio</w:t>
      </w:r>
      <w:r>
        <w:rPr>
          <w:rFonts w:eastAsiaTheme="majorEastAsia" w:cstheme="majorBidi"/>
          <w:bCs/>
          <w:i/>
          <w:i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 xml:space="preserve">(LDR) </w:t>
      </w:r>
      <w:r w:rsidRPr="00230712">
        <w:rPr>
          <w:rFonts w:eastAsiaTheme="majorEastAsia" w:cstheme="majorBidi"/>
          <w:bCs/>
          <w:szCs w:val="32"/>
        </w:rPr>
        <w:t xml:space="preserve">tidak berpengaruh terhadap </w:t>
      </w:r>
      <w:r w:rsidRPr="00990CAB">
        <w:rPr>
          <w:rFonts w:eastAsiaTheme="majorEastAsia" w:cstheme="majorBidi"/>
          <w:bCs/>
          <w:i/>
          <w:iCs/>
          <w:szCs w:val="32"/>
        </w:rPr>
        <w:t>Return On Assets</w:t>
      </w:r>
      <w:r w:rsidRPr="00230712">
        <w:rPr>
          <w:rFonts w:eastAsiaTheme="majorEastAsia" w:cstheme="majorBidi"/>
          <w:b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 xml:space="preserve">(ROA) </w:t>
      </w:r>
      <w:r w:rsidRPr="00230712">
        <w:rPr>
          <w:rFonts w:eastAsiaTheme="majorEastAsia" w:cstheme="majorBidi"/>
          <w:bCs/>
          <w:szCs w:val="32"/>
        </w:rPr>
        <w:t xml:space="preserve">dengan 0.3858 dan </w:t>
      </w:r>
      <w:r w:rsidRPr="005F50D3">
        <w:rPr>
          <w:rFonts w:eastAsiaTheme="majorEastAsia" w:cstheme="majorBidi"/>
          <w:bCs/>
          <w:szCs w:val="32"/>
        </w:rPr>
        <w:t>Biaya Operasional terhadap Pendapatan Operasional</w:t>
      </w:r>
      <w:r w:rsidRPr="00230712">
        <w:rPr>
          <w:rFonts w:eastAsiaTheme="majorEastAsia" w:cstheme="majorBidi"/>
          <w:b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 xml:space="preserve">(BOPO) </w:t>
      </w:r>
      <w:r w:rsidRPr="00230712">
        <w:rPr>
          <w:rFonts w:eastAsiaTheme="majorEastAsia" w:cstheme="majorBidi"/>
          <w:bCs/>
          <w:szCs w:val="32"/>
        </w:rPr>
        <w:t xml:space="preserve">berpengaruh negatif dengan nilai hitung </w:t>
      </w:r>
      <w:r>
        <w:rPr>
          <w:rFonts w:eastAsiaTheme="majorEastAsia" w:cstheme="majorBidi"/>
          <w:bCs/>
          <w:szCs w:val="32"/>
        </w:rPr>
        <w:t xml:space="preserve">t </w:t>
      </w:r>
      <w:r w:rsidRPr="00230712">
        <w:rPr>
          <w:rFonts w:eastAsiaTheme="majorEastAsia" w:cstheme="majorBidi"/>
          <w:bCs/>
          <w:szCs w:val="32"/>
        </w:rPr>
        <w:t xml:space="preserve">sebesar 4.392644. Secara simultan </w:t>
      </w:r>
      <w:r w:rsidRPr="00B2330D">
        <w:rPr>
          <w:rFonts w:eastAsiaTheme="majorEastAsia" w:cstheme="majorBidi"/>
          <w:bCs/>
          <w:i/>
          <w:iCs/>
          <w:szCs w:val="32"/>
        </w:rPr>
        <w:t>Return On Assets</w:t>
      </w:r>
      <w:r w:rsidRPr="00230712">
        <w:rPr>
          <w:rFonts w:eastAsiaTheme="majorEastAsia" w:cstheme="majorBidi"/>
          <w:b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 xml:space="preserve">(ROA) </w:t>
      </w:r>
      <w:r w:rsidRPr="00230712">
        <w:rPr>
          <w:rFonts w:eastAsiaTheme="majorEastAsia" w:cstheme="majorBidi"/>
          <w:bCs/>
          <w:szCs w:val="32"/>
        </w:rPr>
        <w:t xml:space="preserve">dipengaruhi oleh </w:t>
      </w:r>
      <w:r w:rsidRPr="00B2330D">
        <w:rPr>
          <w:rFonts w:eastAsiaTheme="majorEastAsia" w:cstheme="majorBidi"/>
          <w:bCs/>
          <w:i/>
          <w:iCs/>
          <w:szCs w:val="32"/>
        </w:rPr>
        <w:t>Non Performing Loan</w:t>
      </w:r>
      <w:r>
        <w:rPr>
          <w:rFonts w:eastAsiaTheme="majorEastAsia" w:cstheme="majorBidi"/>
          <w:bCs/>
          <w:i/>
          <w:iCs/>
          <w:szCs w:val="32"/>
        </w:rPr>
        <w:t xml:space="preserve"> </w:t>
      </w:r>
      <w:r>
        <w:rPr>
          <w:rFonts w:eastAsiaTheme="majorEastAsia" w:cstheme="majorBidi"/>
          <w:bCs/>
          <w:szCs w:val="32"/>
        </w:rPr>
        <w:t>(NPL)</w:t>
      </w:r>
      <w:r w:rsidRPr="00B2330D">
        <w:rPr>
          <w:rFonts w:eastAsiaTheme="majorEastAsia" w:cstheme="majorBidi"/>
          <w:bCs/>
          <w:i/>
          <w:iCs/>
          <w:szCs w:val="32"/>
        </w:rPr>
        <w:t>, Loan to Deposit Ratio</w:t>
      </w:r>
      <w:r>
        <w:rPr>
          <w:rFonts w:eastAsiaTheme="majorEastAsia" w:cstheme="majorBidi"/>
          <w:bCs/>
          <w:szCs w:val="32"/>
        </w:rPr>
        <w:t xml:space="preserve"> (LDR)</w:t>
      </w:r>
      <w:r w:rsidRPr="00B2330D">
        <w:rPr>
          <w:rFonts w:eastAsiaTheme="majorEastAsia" w:cstheme="majorBidi"/>
          <w:bCs/>
          <w:i/>
          <w:iCs/>
          <w:szCs w:val="32"/>
        </w:rPr>
        <w:t xml:space="preserve"> </w:t>
      </w:r>
      <w:r w:rsidRPr="00B2330D">
        <w:rPr>
          <w:rFonts w:eastAsiaTheme="majorEastAsia" w:cstheme="majorBidi"/>
          <w:bCs/>
          <w:szCs w:val="32"/>
        </w:rPr>
        <w:t>dan</w:t>
      </w:r>
      <w:r w:rsidRPr="00B2330D">
        <w:rPr>
          <w:rFonts w:eastAsiaTheme="majorEastAsia" w:cstheme="majorBidi"/>
          <w:bCs/>
          <w:i/>
          <w:iCs/>
          <w:szCs w:val="32"/>
        </w:rPr>
        <w:t xml:space="preserve"> </w:t>
      </w:r>
      <w:r w:rsidRPr="00B24791">
        <w:rPr>
          <w:rFonts w:eastAsiaTheme="majorEastAsia" w:cstheme="majorBidi"/>
          <w:bCs/>
          <w:szCs w:val="32"/>
        </w:rPr>
        <w:t>Biaya Operasional terhadap Pendapatan Operasional (</w:t>
      </w:r>
      <w:r>
        <w:rPr>
          <w:rFonts w:eastAsiaTheme="majorEastAsia" w:cstheme="majorBidi"/>
          <w:bCs/>
          <w:szCs w:val="32"/>
        </w:rPr>
        <w:t xml:space="preserve">BOPO) </w:t>
      </w:r>
      <w:r w:rsidRPr="00230712">
        <w:rPr>
          <w:rFonts w:eastAsiaTheme="majorEastAsia" w:cstheme="majorBidi"/>
          <w:bCs/>
          <w:szCs w:val="32"/>
        </w:rPr>
        <w:t>dengan hasil uji F sebesar 14.01492</w:t>
      </w:r>
      <w:r>
        <w:rPr>
          <w:rFonts w:eastAsiaTheme="majorEastAsia" w:cstheme="majorBidi"/>
          <w:bCs/>
          <w:szCs w:val="32"/>
        </w:rPr>
        <w:t>.</w:t>
      </w:r>
    </w:p>
    <w:p w14:paraId="3A1EA6FB" w14:textId="77777777" w:rsidR="00A32874" w:rsidRPr="00230712" w:rsidRDefault="00A32874" w:rsidP="00A32874">
      <w:pPr>
        <w:spacing w:after="0" w:line="240" w:lineRule="auto"/>
        <w:ind w:right="49"/>
        <w:jc w:val="both"/>
        <w:rPr>
          <w:rFonts w:eastAsiaTheme="majorEastAsia" w:cstheme="majorBidi"/>
          <w:bCs/>
          <w:szCs w:val="32"/>
        </w:rPr>
      </w:pPr>
    </w:p>
    <w:p w14:paraId="44F8C4A6" w14:textId="77777777" w:rsidR="00A32874" w:rsidRPr="00F7353C" w:rsidRDefault="00A32874" w:rsidP="00A32874">
      <w:pPr>
        <w:spacing w:after="0" w:line="240" w:lineRule="auto"/>
        <w:ind w:right="49"/>
        <w:jc w:val="both"/>
        <w:rPr>
          <w:rFonts w:eastAsiaTheme="majorEastAsia" w:cstheme="majorBidi"/>
          <w:bCs/>
          <w:szCs w:val="32"/>
        </w:rPr>
      </w:pPr>
      <w:r w:rsidRPr="00230712">
        <w:rPr>
          <w:rFonts w:eastAsiaTheme="majorEastAsia" w:cstheme="majorBidi"/>
          <w:bCs/>
          <w:szCs w:val="32"/>
        </w:rPr>
        <w:t xml:space="preserve">Kata Kunci : </w:t>
      </w:r>
      <w:r w:rsidRPr="00B2330D">
        <w:rPr>
          <w:rFonts w:eastAsiaTheme="majorEastAsia" w:cstheme="majorBidi"/>
          <w:bCs/>
          <w:i/>
          <w:iCs/>
          <w:szCs w:val="32"/>
        </w:rPr>
        <w:t xml:space="preserve">Non Performing Loan, Loan to Deposit Ratio, </w:t>
      </w:r>
      <w:r w:rsidRPr="005F50D3">
        <w:rPr>
          <w:rFonts w:eastAsiaTheme="majorEastAsia" w:cstheme="majorBidi"/>
          <w:bCs/>
          <w:szCs w:val="32"/>
        </w:rPr>
        <w:t xml:space="preserve">Biaya Operasional terhadap Pendapatan Operasional, </w:t>
      </w:r>
      <w:r w:rsidRPr="00B2330D">
        <w:rPr>
          <w:rFonts w:eastAsiaTheme="majorEastAsia" w:cstheme="majorBidi"/>
          <w:bCs/>
          <w:i/>
          <w:iCs/>
          <w:szCs w:val="32"/>
        </w:rPr>
        <w:t>Return On assets</w:t>
      </w:r>
      <w:r w:rsidRPr="00230712">
        <w:rPr>
          <w:rFonts w:eastAsiaTheme="majorEastAsia" w:cstheme="majorBidi"/>
          <w:bCs/>
          <w:szCs w:val="32"/>
        </w:rPr>
        <w:t>, Profitabilitas</w:t>
      </w:r>
      <w:r>
        <w:rPr>
          <w:rFonts w:eastAsiaTheme="majorEastAsia" w:cstheme="majorBidi"/>
          <w:bCs/>
          <w:szCs w:val="32"/>
        </w:rPr>
        <w:t>.</w:t>
      </w:r>
      <w:r>
        <w:br w:type="page"/>
      </w:r>
    </w:p>
    <w:p w14:paraId="08862C04" w14:textId="77777777" w:rsidR="00362485" w:rsidRPr="00A32874" w:rsidRDefault="00362485" w:rsidP="00A32874"/>
    <w:sectPr w:rsidR="00362485" w:rsidRPr="00A32874" w:rsidSect="00196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BDEF" w14:textId="77777777" w:rsidR="00C057C8" w:rsidRDefault="00C057C8">
      <w:pPr>
        <w:spacing w:after="0" w:line="240" w:lineRule="auto"/>
      </w:pPr>
      <w:r>
        <w:separator/>
      </w:r>
    </w:p>
  </w:endnote>
  <w:endnote w:type="continuationSeparator" w:id="0">
    <w:p w14:paraId="287B8711" w14:textId="77777777" w:rsidR="00C057C8" w:rsidRDefault="00C0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3129" w14:textId="77777777" w:rsidR="00036743" w:rsidRDefault="00036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67422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0529CDBB" w14:textId="77777777" w:rsidR="00196F9C" w:rsidRPr="00CE3225" w:rsidRDefault="00196F9C">
        <w:pPr>
          <w:pStyle w:val="Footer"/>
          <w:jc w:val="center"/>
          <w:rPr>
            <w:szCs w:val="24"/>
          </w:rPr>
        </w:pPr>
        <w:r w:rsidRPr="003C43F3">
          <w:rPr>
            <w:rFonts w:cs="Times New Roman"/>
            <w:szCs w:val="24"/>
          </w:rPr>
          <w:fldChar w:fldCharType="begin"/>
        </w:r>
        <w:r w:rsidRPr="003C43F3">
          <w:rPr>
            <w:rFonts w:cs="Times New Roman"/>
            <w:szCs w:val="24"/>
          </w:rPr>
          <w:instrText xml:space="preserve"> PAGE   \* MERGEFORMAT </w:instrText>
        </w:r>
        <w:r w:rsidRPr="003C43F3">
          <w:rPr>
            <w:rFonts w:cs="Times New Roman"/>
            <w:szCs w:val="24"/>
          </w:rPr>
          <w:fldChar w:fldCharType="separate"/>
        </w:r>
        <w:r w:rsidRPr="003C43F3">
          <w:rPr>
            <w:rFonts w:cs="Times New Roman"/>
            <w:noProof/>
            <w:szCs w:val="24"/>
          </w:rPr>
          <w:t>2</w:t>
        </w:r>
        <w:r w:rsidRPr="003C43F3">
          <w:rPr>
            <w:rFonts w:cs="Times New Roman"/>
            <w:noProof/>
            <w:szCs w:val="24"/>
          </w:rPr>
          <w:fldChar w:fldCharType="end"/>
        </w:r>
      </w:p>
    </w:sdtContent>
  </w:sdt>
  <w:p w14:paraId="2FC62CCB" w14:textId="77777777" w:rsidR="00196F9C" w:rsidRDefault="00196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223A" w14:textId="77777777" w:rsidR="00196F9C" w:rsidRDefault="00196F9C">
    <w:pPr>
      <w:pStyle w:val="Footer"/>
      <w:jc w:val="center"/>
    </w:pPr>
  </w:p>
  <w:p w14:paraId="2C9BF8EB" w14:textId="77777777" w:rsidR="00196F9C" w:rsidRDefault="00196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CBA2" w14:textId="77777777" w:rsidR="00C057C8" w:rsidRDefault="00C057C8">
      <w:pPr>
        <w:spacing w:after="0" w:line="240" w:lineRule="auto"/>
      </w:pPr>
      <w:r>
        <w:separator/>
      </w:r>
    </w:p>
  </w:footnote>
  <w:footnote w:type="continuationSeparator" w:id="0">
    <w:p w14:paraId="02211EEA" w14:textId="77777777" w:rsidR="00C057C8" w:rsidRDefault="00C0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F0EE" w14:textId="07060CD3" w:rsidR="00036743" w:rsidRDefault="00036743">
    <w:pPr>
      <w:pStyle w:val="Header"/>
    </w:pPr>
    <w:r>
      <w:rPr>
        <w:noProof/>
        <w14:ligatures w14:val="standardContextual"/>
      </w:rPr>
      <w:pict w14:anchorId="0E26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8969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791F" w14:textId="7D09F89F" w:rsidR="00036743" w:rsidRDefault="00036743">
    <w:pPr>
      <w:pStyle w:val="Header"/>
    </w:pPr>
    <w:r>
      <w:rPr>
        <w:noProof/>
        <w14:ligatures w14:val="standardContextual"/>
      </w:rPr>
      <w:pict w14:anchorId="0293F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8969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A085" w14:textId="558888BE" w:rsidR="00196F9C" w:rsidRDefault="00036743" w:rsidP="00FA279B">
    <w:pPr>
      <w:pStyle w:val="Header"/>
    </w:pPr>
    <w:r>
      <w:rPr>
        <w:noProof/>
        <w14:ligatures w14:val="standardContextual"/>
      </w:rPr>
      <w:pict w14:anchorId="71F2B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8969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D9DC072" w14:textId="77777777" w:rsidR="00196F9C" w:rsidRDefault="00196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4FA9"/>
    <w:multiLevelType w:val="hybridMultilevel"/>
    <w:tmpl w:val="6458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6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C"/>
    <w:rsid w:val="00036743"/>
    <w:rsid w:val="000D28B9"/>
    <w:rsid w:val="00196F9C"/>
    <w:rsid w:val="00362485"/>
    <w:rsid w:val="00457B20"/>
    <w:rsid w:val="00765B3F"/>
    <w:rsid w:val="00A32874"/>
    <w:rsid w:val="00C0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4BD9D"/>
  <w15:chartTrackingRefBased/>
  <w15:docId w15:val="{973C499D-A805-44B8-AD36-7BB3826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F9C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ListParagraph">
    <w:name w:val="List Paragraph"/>
    <w:aliases w:val="spasi 2,spasi 2 taiiii,skripsi,ANNEX,Sub Judul DEA KP"/>
    <w:basedOn w:val="Normal"/>
    <w:link w:val="ListParagraphChar"/>
    <w:uiPriority w:val="34"/>
    <w:qFormat/>
    <w:rsid w:val="00196F9C"/>
    <w:pPr>
      <w:ind w:left="720"/>
      <w:contextualSpacing/>
    </w:pPr>
  </w:style>
  <w:style w:type="table" w:styleId="TableGrid">
    <w:name w:val="Table Grid"/>
    <w:basedOn w:val="TableNormal"/>
    <w:uiPriority w:val="39"/>
    <w:rsid w:val="00196F9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F9C"/>
    <w:rPr>
      <w:color w:val="0563C1" w:themeColor="hyperlink"/>
      <w:u w:val="single"/>
    </w:rPr>
  </w:style>
  <w:style w:type="character" w:customStyle="1" w:styleId="ListParagraphChar">
    <w:name w:val="List Paragraph Char"/>
    <w:aliases w:val="spasi 2 Char,spasi 2 taiiii Char,skripsi Char,ANNEX Char,Sub Judul DEA KP Char"/>
    <w:link w:val="ListParagraph"/>
    <w:uiPriority w:val="34"/>
    <w:qFormat/>
    <w:locked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6F9C"/>
    <w:pPr>
      <w:tabs>
        <w:tab w:val="right" w:leader="dot" w:pos="8261"/>
      </w:tabs>
      <w:spacing w:after="100"/>
    </w:pPr>
    <w:rPr>
      <w:rFonts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96F9C"/>
    <w:pPr>
      <w:tabs>
        <w:tab w:val="left" w:pos="1100"/>
        <w:tab w:val="right" w:leader="dot" w:pos="8261"/>
      </w:tabs>
      <w:spacing w:after="100"/>
      <w:ind w:left="993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196F9C"/>
    <w:pPr>
      <w:tabs>
        <w:tab w:val="left" w:pos="1320"/>
        <w:tab w:val="left" w:pos="1418"/>
        <w:tab w:val="left" w:pos="1760"/>
        <w:tab w:val="right" w:leader="dot" w:pos="8261"/>
      </w:tabs>
      <w:spacing w:after="100"/>
      <w:ind w:left="1560" w:hanging="568"/>
    </w:pPr>
    <w:rPr>
      <w:rFonts w:cs="Times New Roman"/>
      <w:b/>
      <w:bCs/>
      <w:noProof/>
    </w:rPr>
  </w:style>
  <w:style w:type="paragraph" w:styleId="NoSpacing">
    <w:name w:val="No Spacing"/>
    <w:uiPriority w:val="1"/>
    <w:qFormat/>
    <w:rsid w:val="00196F9C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2024-11-02T08:28:00Z</dcterms:created>
  <dcterms:modified xsi:type="dcterms:W3CDTF">2024-11-16T03:49:00Z</dcterms:modified>
</cp:coreProperties>
</file>