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31D3" w14:textId="77777777" w:rsidR="00D30FD3" w:rsidRPr="00AD212C" w:rsidRDefault="00D30FD3" w:rsidP="00D30FD3">
      <w:pPr>
        <w:tabs>
          <w:tab w:val="left" w:leader="dot" w:pos="7200"/>
        </w:tabs>
        <w:spacing w:after="120"/>
        <w:jc w:val="center"/>
        <w:rPr>
          <w:rFonts w:ascii="Times New Roman" w:hAnsi="Times New Roman" w:cs="Times New Roman"/>
          <w:b/>
          <w:bCs/>
          <w:sz w:val="24"/>
          <w:szCs w:val="24"/>
        </w:rPr>
      </w:pPr>
      <w:r w:rsidRPr="00AD212C">
        <w:rPr>
          <w:rFonts w:ascii="Times New Roman" w:hAnsi="Times New Roman" w:cs="Times New Roman"/>
          <w:b/>
          <w:bCs/>
          <w:sz w:val="24"/>
          <w:szCs w:val="24"/>
        </w:rPr>
        <w:t>BAB I</w:t>
      </w:r>
    </w:p>
    <w:p w14:paraId="110F4725" w14:textId="77777777" w:rsidR="00D30FD3" w:rsidRPr="00AD212C" w:rsidRDefault="00D30FD3" w:rsidP="00D30FD3">
      <w:pPr>
        <w:spacing w:after="200" w:line="360" w:lineRule="auto"/>
        <w:jc w:val="center"/>
        <w:rPr>
          <w:rFonts w:ascii="Times New Roman" w:hAnsi="Times New Roman" w:cs="Times New Roman"/>
          <w:b/>
          <w:bCs/>
          <w:sz w:val="24"/>
          <w:szCs w:val="24"/>
        </w:rPr>
      </w:pPr>
      <w:r w:rsidRPr="00AD212C">
        <w:rPr>
          <w:rFonts w:ascii="Times New Roman" w:hAnsi="Times New Roman" w:cs="Times New Roman"/>
          <w:b/>
          <w:bCs/>
          <w:sz w:val="24"/>
          <w:szCs w:val="24"/>
        </w:rPr>
        <w:t>PENDAHULUAN</w:t>
      </w:r>
    </w:p>
    <w:p w14:paraId="1229019A" w14:textId="77777777" w:rsidR="00D30FD3" w:rsidRPr="00AD212C" w:rsidRDefault="00D30FD3" w:rsidP="00D30FD3">
      <w:pPr>
        <w:pStyle w:val="ListParagraph"/>
        <w:numPr>
          <w:ilvl w:val="0"/>
          <w:numId w:val="13"/>
        </w:numPr>
        <w:spacing w:line="360" w:lineRule="auto"/>
        <w:ind w:left="360"/>
        <w:rPr>
          <w:rFonts w:ascii="Times New Roman" w:hAnsi="Times New Roman" w:cs="Times New Roman"/>
          <w:b/>
          <w:bCs/>
          <w:sz w:val="24"/>
          <w:szCs w:val="24"/>
        </w:rPr>
      </w:pPr>
      <w:r w:rsidRPr="00AD212C">
        <w:rPr>
          <w:rFonts w:ascii="Times New Roman" w:hAnsi="Times New Roman" w:cs="Times New Roman"/>
          <w:b/>
          <w:bCs/>
          <w:sz w:val="24"/>
          <w:szCs w:val="24"/>
        </w:rPr>
        <w:t xml:space="preserve">Latar </w:t>
      </w:r>
      <w:proofErr w:type="spellStart"/>
      <w:r w:rsidRPr="00AD212C">
        <w:rPr>
          <w:rFonts w:ascii="Times New Roman" w:hAnsi="Times New Roman" w:cs="Times New Roman"/>
          <w:b/>
          <w:bCs/>
          <w:sz w:val="24"/>
          <w:szCs w:val="24"/>
        </w:rPr>
        <w:t>Belakang</w:t>
      </w:r>
      <w:proofErr w:type="spellEnd"/>
      <w:r w:rsidRPr="00AD212C">
        <w:rPr>
          <w:rFonts w:ascii="Times New Roman" w:hAnsi="Times New Roman" w:cs="Times New Roman"/>
          <w:b/>
          <w:bCs/>
          <w:sz w:val="24"/>
          <w:szCs w:val="24"/>
        </w:rPr>
        <w:t xml:space="preserve"> </w:t>
      </w:r>
      <w:proofErr w:type="spellStart"/>
      <w:r w:rsidRPr="00AD212C">
        <w:rPr>
          <w:rFonts w:ascii="Times New Roman" w:hAnsi="Times New Roman" w:cs="Times New Roman"/>
          <w:b/>
          <w:bCs/>
          <w:sz w:val="24"/>
          <w:szCs w:val="24"/>
        </w:rPr>
        <w:t>Masalah</w:t>
      </w:r>
      <w:proofErr w:type="spellEnd"/>
    </w:p>
    <w:p w14:paraId="4A2F3C66" w14:textId="77777777" w:rsidR="00D30FD3" w:rsidRPr="00AD212C" w:rsidRDefault="00D30FD3" w:rsidP="00D30FD3">
      <w:pPr>
        <w:pStyle w:val="ListParagraph"/>
        <w:spacing w:line="360" w:lineRule="auto"/>
        <w:ind w:left="360" w:firstLine="720"/>
        <w:rPr>
          <w:rFonts w:ascii="Times New Roman" w:hAnsi="Times New Roman" w:cs="Times New Roman"/>
          <w:sz w:val="24"/>
          <w:szCs w:val="24"/>
        </w:rPr>
      </w:pPr>
      <w:r>
        <w:rPr>
          <w:rFonts w:ascii="Times New Roman" w:hAnsi="Times New Roman" w:cs="Times New Roman"/>
          <w:sz w:val="24"/>
          <w:szCs w:val="24"/>
        </w:rPr>
        <w:t>Capital market</w:t>
      </w:r>
      <w:r w:rsidRPr="00E633AF">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tempat</w:t>
      </w:r>
      <w:proofErr w:type="spellEnd"/>
      <w:r w:rsidRPr="00E633AF">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be</w:t>
      </w:r>
      <w:r>
        <w:rPr>
          <w:rFonts w:ascii="Times New Roman" w:hAnsi="Times New Roman" w:cs="Times New Roman"/>
          <w:sz w:val="24"/>
          <w:szCs w:val="24"/>
        </w:rPr>
        <w:t>rmacam-macam</w:t>
      </w:r>
      <w:proofErr w:type="spellEnd"/>
      <w:r w:rsidRPr="00E633AF">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sidRPr="00E633AF">
        <w:rPr>
          <w:rFonts w:ascii="Times New Roman" w:hAnsi="Times New Roman" w:cs="Times New Roman"/>
          <w:sz w:val="24"/>
          <w:szCs w:val="24"/>
        </w:rPr>
        <w:t xml:space="preserve"> </w:t>
      </w:r>
      <w:r>
        <w:rPr>
          <w:rFonts w:ascii="Times New Roman" w:hAnsi="Times New Roman" w:cs="Times New Roman"/>
          <w:sz w:val="24"/>
          <w:szCs w:val="24"/>
        </w:rPr>
        <w:t>bisa</w:t>
      </w:r>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diperjualbelikan</w:t>
      </w:r>
      <w:proofErr w:type="spellEnd"/>
      <w:r w:rsidRPr="00E633AF">
        <w:rPr>
          <w:rFonts w:ascii="Times New Roman" w:hAnsi="Times New Roman" w:cs="Times New Roman"/>
          <w:sz w:val="24"/>
          <w:szCs w:val="24"/>
        </w:rPr>
        <w:t xml:space="preserve">. Pasar modal Indonesia, yang </w:t>
      </w:r>
      <w:proofErr w:type="spellStart"/>
      <w:r w:rsidRPr="00E633AF">
        <w:rPr>
          <w:rFonts w:ascii="Times New Roman" w:hAnsi="Times New Roman" w:cs="Times New Roman"/>
          <w:sz w:val="24"/>
          <w:szCs w:val="24"/>
        </w:rPr>
        <w:t>te</w:t>
      </w:r>
      <w:r>
        <w:rPr>
          <w:rFonts w:ascii="Times New Roman" w:hAnsi="Times New Roman" w:cs="Times New Roman"/>
          <w:sz w:val="24"/>
          <w:szCs w:val="24"/>
        </w:rPr>
        <w:t>rdata</w:t>
      </w:r>
      <w:proofErr w:type="spellEnd"/>
      <w:r w:rsidRPr="00E633AF">
        <w:rPr>
          <w:rFonts w:ascii="Times New Roman" w:hAnsi="Times New Roman" w:cs="Times New Roman"/>
          <w:sz w:val="24"/>
          <w:szCs w:val="24"/>
        </w:rPr>
        <w:t xml:space="preserve"> di Bursa </w:t>
      </w:r>
      <w:proofErr w:type="spellStart"/>
      <w:r w:rsidRPr="00E633AF">
        <w:rPr>
          <w:rFonts w:ascii="Times New Roman" w:hAnsi="Times New Roman" w:cs="Times New Roman"/>
          <w:sz w:val="24"/>
          <w:szCs w:val="24"/>
        </w:rPr>
        <w:t>Efek</w:t>
      </w:r>
      <w:proofErr w:type="spellEnd"/>
      <w:r w:rsidRPr="00E633AF">
        <w:rPr>
          <w:rFonts w:ascii="Times New Roman" w:hAnsi="Times New Roman" w:cs="Times New Roman"/>
          <w:sz w:val="24"/>
          <w:szCs w:val="24"/>
        </w:rPr>
        <w:t xml:space="preserve"> Indonesia (BEI), </w:t>
      </w:r>
      <w:proofErr w:type="spellStart"/>
      <w:r w:rsidRPr="00E633AF">
        <w:rPr>
          <w:rFonts w:ascii="Times New Roman" w:hAnsi="Times New Roman" w:cs="Times New Roman"/>
          <w:sz w:val="24"/>
          <w:szCs w:val="24"/>
        </w:rPr>
        <w:t>merupakan</w:t>
      </w:r>
      <w:proofErr w:type="spellEnd"/>
      <w:r w:rsidRPr="00E633AF">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sidRPr="00E633AF">
        <w:rPr>
          <w:rFonts w:ascii="Times New Roman" w:hAnsi="Times New Roman" w:cs="Times New Roman"/>
          <w:sz w:val="24"/>
          <w:szCs w:val="24"/>
        </w:rPr>
        <w:t xml:space="preserve"> </w:t>
      </w:r>
      <w:r>
        <w:rPr>
          <w:rFonts w:ascii="Times New Roman" w:hAnsi="Times New Roman" w:cs="Times New Roman"/>
          <w:sz w:val="24"/>
          <w:szCs w:val="24"/>
        </w:rPr>
        <w:t>untuk</w:t>
      </w:r>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perusahaan</w:t>
      </w:r>
      <w:proofErr w:type="spellEnd"/>
      <w:r w:rsidRPr="00E633AF">
        <w:rPr>
          <w:rFonts w:ascii="Times New Roman" w:hAnsi="Times New Roman" w:cs="Times New Roman"/>
          <w:sz w:val="24"/>
          <w:szCs w:val="24"/>
        </w:rPr>
        <w:t xml:space="preserve"> </w:t>
      </w:r>
      <w:r>
        <w:rPr>
          <w:rFonts w:ascii="Times New Roman" w:hAnsi="Times New Roman" w:cs="Times New Roman"/>
          <w:sz w:val="24"/>
          <w:szCs w:val="24"/>
        </w:rPr>
        <w:t>IPO</w:t>
      </w:r>
      <w:r w:rsidRPr="00E633AF">
        <w:rPr>
          <w:rFonts w:ascii="Times New Roman" w:hAnsi="Times New Roman" w:cs="Times New Roman"/>
          <w:sz w:val="24"/>
          <w:szCs w:val="24"/>
        </w:rPr>
        <w:t xml:space="preserve"> dan </w:t>
      </w:r>
      <w:r>
        <w:rPr>
          <w:rFonts w:ascii="Times New Roman" w:hAnsi="Times New Roman" w:cs="Times New Roman"/>
          <w:sz w:val="24"/>
          <w:szCs w:val="24"/>
        </w:rPr>
        <w:t>bisa</w:t>
      </w:r>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memberitahukan</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kepada</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publik</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mengenai</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keadaan</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perusahaannya</w:t>
      </w:r>
      <w:proofErr w:type="spellEnd"/>
      <w:r w:rsidRPr="00E633AF">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author":[{"dropping-particle":"","family":"Permatasari","given":"Lisa","non-dropping-particle":"","parse-names":false,"suffix":""},{"dropping-particle":"","family":"Dasman","given":"Sunita","non-dropping-particle":"","parse-names":false,"suffix":""}],"id":"ITEM-1","issued":{"date-parts":[["2024"]]},"page":"98-109","title":"PENGARUH NPL ( NON PERFORMING LOAN ) , EPS ( EARNING PER SHARE ) DAN PER ( PRICE EARNINGS RATIO ) TERHADAP HARGA SAHAM BBRI PER-QUARTAL TAHUN 2012 - 2022","type":"article-journal","volume":"2"},"uris":["http://www.mendeley.com/documents/?uuid=5881a534-63b9-4bec-b1c1-96f4eb750175"]}],"mendeley":{"formattedCitation":"(Permatasari &amp; Dasman, 2024)","plainTextFormattedCitation":"(Permatasari &amp; Dasman, 2024)","previouslyFormattedCitation":"(Permatasari &amp; Dasman, 2024)"},"properties":{"noteIndex":0},"schema":"https://github.com/citation-style-language/schema/raw/master/csl-citation.json"}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(Permatasari &amp; Dasman, 2024)</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r w:rsidRPr="00E633AF">
        <w:rPr>
          <w:rFonts w:ascii="Times New Roman" w:hAnsi="Times New Roman" w:cs="Times New Roman"/>
          <w:sz w:val="24"/>
          <w:szCs w:val="24"/>
        </w:rPr>
        <w:t xml:space="preserve">Pasar modal </w:t>
      </w:r>
      <w:r>
        <w:rPr>
          <w:rFonts w:ascii="Times New Roman" w:hAnsi="Times New Roman" w:cs="Times New Roman"/>
          <w:sz w:val="24"/>
          <w:szCs w:val="24"/>
        </w:rPr>
        <w:t>bisa</w:t>
      </w:r>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membantu</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menciptakan</w:t>
      </w:r>
      <w:proofErr w:type="spellEnd"/>
      <w:r w:rsidRPr="00E633AF">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alokasi</w:t>
      </w:r>
      <w:proofErr w:type="spellEnd"/>
      <w:r w:rsidRPr="00E633AF">
        <w:rPr>
          <w:rFonts w:ascii="Times New Roman" w:hAnsi="Times New Roman" w:cs="Times New Roman"/>
          <w:sz w:val="24"/>
          <w:szCs w:val="24"/>
        </w:rPr>
        <w:t xml:space="preserve"> dana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E633AF">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r w:rsidRPr="007D2A0D">
        <w:rPr>
          <w:rFonts w:ascii="Times New Roman" w:hAnsi="Times New Roman" w:cs="Times New Roman"/>
          <w:sz w:val="24"/>
          <w:szCs w:val="24"/>
        </w:rPr>
        <w:t xml:space="preserve">Hal ini </w:t>
      </w:r>
      <w:proofErr w:type="spellStart"/>
      <w:r w:rsidRPr="007D2A0D">
        <w:rPr>
          <w:rFonts w:ascii="Times New Roman" w:hAnsi="Times New Roman" w:cs="Times New Roman"/>
          <w:sz w:val="24"/>
          <w:szCs w:val="24"/>
        </w:rPr>
        <w:t>karena</w:t>
      </w:r>
      <w:proofErr w:type="spellEnd"/>
      <w:r w:rsidRPr="007D2A0D">
        <w:rPr>
          <w:rFonts w:ascii="Times New Roman" w:hAnsi="Times New Roman" w:cs="Times New Roman"/>
          <w:sz w:val="24"/>
          <w:szCs w:val="24"/>
        </w:rPr>
        <w:t xml:space="preserve"> investor yang </w:t>
      </w:r>
      <w:proofErr w:type="spellStart"/>
      <w:r w:rsidRPr="007D2A0D">
        <w:rPr>
          <w:rFonts w:ascii="Times New Roman" w:hAnsi="Times New Roman" w:cs="Times New Roman"/>
          <w:sz w:val="24"/>
          <w:szCs w:val="24"/>
        </w:rPr>
        <w:t>memiliki</w:t>
      </w:r>
      <w:proofErr w:type="spellEnd"/>
      <w:r w:rsidRPr="007D2A0D">
        <w:rPr>
          <w:rFonts w:ascii="Times New Roman" w:hAnsi="Times New Roman" w:cs="Times New Roman"/>
          <w:sz w:val="24"/>
          <w:szCs w:val="24"/>
        </w:rPr>
        <w:t xml:space="preserve"> </w:t>
      </w:r>
      <w:r>
        <w:rPr>
          <w:rFonts w:ascii="Times New Roman" w:hAnsi="Times New Roman" w:cs="Times New Roman"/>
          <w:sz w:val="24"/>
          <w:szCs w:val="24"/>
        </w:rPr>
        <w:t xml:space="preserve">dana </w:t>
      </w:r>
      <w:proofErr w:type="spellStart"/>
      <w:r>
        <w:rPr>
          <w:rFonts w:ascii="Times New Roman" w:hAnsi="Times New Roman" w:cs="Times New Roman"/>
          <w:sz w:val="24"/>
          <w:szCs w:val="24"/>
        </w:rPr>
        <w:t>lebih</w:t>
      </w:r>
      <w:proofErr w:type="spellEnd"/>
      <w:r w:rsidRPr="007D2A0D">
        <w:rPr>
          <w:rFonts w:ascii="Times New Roman" w:hAnsi="Times New Roman" w:cs="Times New Roman"/>
          <w:sz w:val="24"/>
          <w:szCs w:val="24"/>
        </w:rPr>
        <w:t xml:space="preserve"> </w:t>
      </w:r>
      <w:r>
        <w:rPr>
          <w:rFonts w:ascii="Times New Roman" w:hAnsi="Times New Roman" w:cs="Times New Roman"/>
          <w:sz w:val="24"/>
          <w:szCs w:val="24"/>
        </w:rPr>
        <w:t>bisa</w:t>
      </w:r>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memilih</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investasi</w:t>
      </w:r>
      <w:proofErr w:type="spellEnd"/>
      <w:r w:rsidRPr="007D2A0D">
        <w:rPr>
          <w:rFonts w:ascii="Times New Roman" w:hAnsi="Times New Roman" w:cs="Times New Roman"/>
          <w:sz w:val="24"/>
          <w:szCs w:val="24"/>
        </w:rPr>
        <w:t xml:space="preserve"> yang </w:t>
      </w:r>
      <w:proofErr w:type="spellStart"/>
      <w:r w:rsidRPr="007D2A0D">
        <w:rPr>
          <w:rFonts w:ascii="Times New Roman" w:hAnsi="Times New Roman" w:cs="Times New Roman"/>
          <w:sz w:val="24"/>
          <w:szCs w:val="24"/>
        </w:rPr>
        <w:t>member</w:t>
      </w:r>
      <w:r>
        <w:rPr>
          <w:rFonts w:ascii="Times New Roman" w:hAnsi="Times New Roman" w:cs="Times New Roman"/>
          <w:sz w:val="24"/>
          <w:szCs w:val="24"/>
        </w:rPr>
        <w:t>i</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imbal</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hasil</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terbaik</w:t>
      </w:r>
      <w:proofErr w:type="spellEnd"/>
      <w:r w:rsidRPr="007D2A0D">
        <w:rPr>
          <w:rFonts w:ascii="Times New Roman" w:hAnsi="Times New Roman" w:cs="Times New Roman"/>
          <w:sz w:val="24"/>
          <w:szCs w:val="24"/>
        </w:rPr>
        <w:t xml:space="preserve"> melalui pasar modal.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{"citationItems":[{"id":"ITEM-1","itemData":{"ISBN":"2777-094X","author":[{"dropping-particle":"","family":"Altin","given":"Wiwid Putri","non-dropping-particle":"","parse-names":false,"suffix":""},{"dropping-particle":"","family":"Kardinal","given":"Kardinal","non-dropping-particle":"","parse-names":false,"suffix":""}],"container-title":"Forbiswira Forum Bisnis Dan Kewirausahaan","id":"ITEM-1","issue":"1","issued":{"date-parts":[["2023"]]},"page":"234-246","title":"Pengaruh Net Profit Margin (NPM), Cash Ratio (CaR), Dan Price To Book Value (PBV) Terhadap Harga Saham Pada Perusahaan Sub Sektor Konstruksi Dan Bangunan Yang Terdaftar di Bursa Efek (BEI) Periode 2017-2021","type":"article-journal","volume":"13"},"uris":["http://www.mendeley.com/documents/?uuid=ae443881-3a6f-437b-88cf-376defcccf17"]}],"mendeley":{"formattedCitation":"(Altin &amp; Kardinal, 2023)","plainTextFormattedCitation":"(Altin &amp; Kardinal, 2023)","previouslyFormattedCitation":"(Altin &amp; Kardinal,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(Altin &amp; Kardinal,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r>
        <w:rPr>
          <w:rFonts w:ascii="Times New Roman" w:hAnsi="Times New Roman" w:cs="Times New Roman"/>
          <w:sz w:val="24"/>
          <w:szCs w:val="24"/>
        </w:rPr>
        <w:t>S</w:t>
      </w:r>
      <w:r w:rsidRPr="00AD212C">
        <w:rPr>
          <w:rFonts w:ascii="Times New Roman" w:hAnsi="Times New Roman" w:cs="Times New Roman"/>
          <w:sz w:val="24"/>
          <w:szCs w:val="24"/>
        </w:rPr>
        <w:t xml:space="preserve">aham </w:t>
      </w:r>
      <w:proofErr w:type="spellStart"/>
      <w:r w:rsidRPr="00AD212C">
        <w:rPr>
          <w:rFonts w:ascii="Times New Roman" w:hAnsi="Times New Roman" w:cs="Times New Roman"/>
          <w:sz w:val="24"/>
          <w:szCs w:val="24"/>
        </w:rPr>
        <w:t>adalah</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AD212C">
        <w:rPr>
          <w:rFonts w:ascii="Times New Roman" w:hAnsi="Times New Roman" w:cs="Times New Roman"/>
          <w:sz w:val="24"/>
          <w:szCs w:val="24"/>
        </w:rPr>
        <w:t>nvestasi</w:t>
      </w:r>
      <w:proofErr w:type="spellEnd"/>
      <w:r w:rsidRPr="00AD212C">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Pr="00AD212C">
        <w:rPr>
          <w:rFonts w:ascii="Times New Roman" w:hAnsi="Times New Roman" w:cs="Times New Roman"/>
          <w:sz w:val="24"/>
          <w:szCs w:val="24"/>
        </w:rPr>
        <w:t>pilih</w:t>
      </w:r>
      <w:proofErr w:type="spellEnd"/>
      <w:r w:rsidRPr="00AD212C">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pemodal</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memiliki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potensi</w:t>
      </w:r>
      <w:proofErr w:type="spellEnd"/>
      <w:r w:rsidRPr="00AD212C">
        <w:rPr>
          <w:rFonts w:ascii="Times New Roman" w:hAnsi="Times New Roman" w:cs="Times New Roman"/>
          <w:sz w:val="24"/>
          <w:szCs w:val="24"/>
        </w:rPr>
        <w:t xml:space="preserve"> untuk </w:t>
      </w:r>
      <w:proofErr w:type="spellStart"/>
      <w:r w:rsidRPr="00AD212C">
        <w:rPr>
          <w:rFonts w:ascii="Times New Roman" w:hAnsi="Times New Roman" w:cs="Times New Roman"/>
          <w:sz w:val="24"/>
          <w:szCs w:val="24"/>
        </w:rPr>
        <w:t>mem</w:t>
      </w:r>
      <w:r>
        <w:rPr>
          <w:rFonts w:ascii="Times New Roman" w:hAnsi="Times New Roman" w:cs="Times New Roman"/>
          <w:sz w:val="24"/>
          <w:szCs w:val="24"/>
        </w:rPr>
        <w:t>bagikan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profit</w:t>
      </w:r>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cukup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w:t>
      </w:r>
      <w:r>
        <w:rPr>
          <w:rFonts w:ascii="Times New Roman" w:hAnsi="Times New Roman" w:cs="Times New Roman"/>
          <w:sz w:val="24"/>
          <w:szCs w:val="24"/>
        </w:rPr>
        <w:t>enggiurkan</w:t>
      </w:r>
      <w:proofErr w:type="spellEnd"/>
      <w:r w:rsidRPr="00AD212C">
        <w:rPr>
          <w:rFonts w:ascii="Times New Roman" w:hAnsi="Times New Roman" w:cs="Times New Roman"/>
          <w:sz w:val="24"/>
          <w:szCs w:val="24"/>
        </w:rPr>
        <w:t xml:space="preserve">. </w:t>
      </w:r>
      <w:r w:rsidRPr="007D2A0D">
        <w:rPr>
          <w:rFonts w:ascii="Times New Roman" w:hAnsi="Times New Roman" w:cs="Times New Roman"/>
          <w:sz w:val="24"/>
          <w:szCs w:val="24"/>
        </w:rPr>
        <w:t xml:space="preserve">Ada </w:t>
      </w:r>
      <w:proofErr w:type="spellStart"/>
      <w:r w:rsidRPr="007D2A0D">
        <w:rPr>
          <w:rFonts w:ascii="Times New Roman" w:hAnsi="Times New Roman" w:cs="Times New Roman"/>
          <w:sz w:val="24"/>
          <w:szCs w:val="24"/>
        </w:rPr>
        <w:t>beberapa</w:t>
      </w:r>
      <w:proofErr w:type="spellEnd"/>
      <w:r w:rsidRPr="007D2A0D">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terkait</w:t>
      </w:r>
      <w:proofErr w:type="spellEnd"/>
      <w:r w:rsidRPr="007D2A0D">
        <w:rPr>
          <w:rFonts w:ascii="Times New Roman" w:hAnsi="Times New Roman" w:cs="Times New Roman"/>
          <w:sz w:val="24"/>
          <w:szCs w:val="24"/>
        </w:rPr>
        <w:t xml:space="preserve"> dengan </w:t>
      </w:r>
      <w:proofErr w:type="spellStart"/>
      <w:r w:rsidRPr="007D2A0D">
        <w:rPr>
          <w:rFonts w:ascii="Times New Roman" w:hAnsi="Times New Roman" w:cs="Times New Roman"/>
          <w:sz w:val="24"/>
          <w:szCs w:val="24"/>
        </w:rPr>
        <w:t>investasi</w:t>
      </w:r>
      <w:proofErr w:type="spellEnd"/>
      <w:r w:rsidRPr="007D2A0D">
        <w:rPr>
          <w:rFonts w:ascii="Times New Roman" w:hAnsi="Times New Roman" w:cs="Times New Roman"/>
          <w:sz w:val="24"/>
          <w:szCs w:val="24"/>
        </w:rPr>
        <w:t xml:space="preserve"> ini, salah </w:t>
      </w:r>
      <w:proofErr w:type="spellStart"/>
      <w:r w:rsidRPr="007D2A0D">
        <w:rPr>
          <w:rFonts w:ascii="Times New Roman" w:hAnsi="Times New Roman" w:cs="Times New Roman"/>
          <w:sz w:val="24"/>
          <w:szCs w:val="24"/>
        </w:rPr>
        <w:t>satunya</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adalah</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potensi</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harga</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saham</w:t>
      </w:r>
      <w:proofErr w:type="spellEnd"/>
      <w:r w:rsidRPr="007D2A0D">
        <w:rPr>
          <w:rFonts w:ascii="Times New Roman" w:hAnsi="Times New Roman" w:cs="Times New Roman"/>
          <w:sz w:val="24"/>
          <w:szCs w:val="24"/>
        </w:rPr>
        <w:t xml:space="preserve"> yang </w:t>
      </w:r>
      <w:proofErr w:type="spellStart"/>
      <w:r w:rsidRPr="007D2A0D">
        <w:rPr>
          <w:rFonts w:ascii="Times New Roman" w:hAnsi="Times New Roman" w:cs="Times New Roman"/>
          <w:sz w:val="24"/>
          <w:szCs w:val="24"/>
        </w:rPr>
        <w:t>dapat</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berubah</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sewaktu</w:t>
      </w:r>
      <w:proofErr w:type="spellEnd"/>
      <w:r w:rsidRPr="007D2A0D">
        <w:rPr>
          <w:rFonts w:ascii="Times New Roman" w:hAnsi="Times New Roman" w:cs="Times New Roman"/>
          <w:sz w:val="24"/>
          <w:szCs w:val="24"/>
        </w:rPr>
        <w:t xml:space="preserve">-waktu.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{"citationItems":[{"id":"ITEM-1","itemData":{"DOI":"10.46576/bn.v6i2.3610","ISSN":"2621-3982","abstract":"This study aims to examine and determine the impact of Earnings Per Share (EPS), Price Earnings Ratio (PER), and Debt to Equity Ratio (DER) on stock prices in banking subsector companies listed on the Indonesia Stock Exchange during the period 2017-2021. The research population includes all banks listed on the Indonesia Stock Exchange. Purposive sampling technique was used, and based on predetermined criteria, 10 companies were selected for this study. Data analysis involved descriptive analysis, classical assumption tests, confirmatory analysis (multiple linear regression analysis and coefficient of determination test), and hypothesis testing.The results of this study indicate that Earnings Per Share has a positive partial effect on stock prices, Price Earnings Ratio has a positive partial effect on stock prices, and Debt to Equity Ratio has a negative partial effect on stock prices. Additionally, collectively, Earnings Per Share, Price Earnings Ratio, and Debt to Equity Ratio have an impact on stock prices.","author":[{"dropping-particle":"","family":"Barohin","given":"Faizunnazif","non-dropping-particle":"Al","parse-names":false,"suffix":""},{"dropping-particle":"","family":"Nasution","given":"Raden","non-dropping-particle":"","parse-names":false,"suffix":""}],"container-title":"Bisnis-Net Jurnal Ekonomi dan Bisnis","id":"ITEM-1","issue":"2","issued":{"date-parts":[["2023"]]},"page":"617-630","title":"Pengaruh Eps, Per, Dan Der Terhadap Harga Saham Pada Perusahaan Sub Sektor Bank Periode 2017-2021","type":"article-journal","volume":"6"},"uris":["http://www.mendeley.com/documents/?uuid=b283a0ae-0287-4f47-88cb-85262808c84a"]}],"mendeley":{"formattedCitation":"(Al Barohin &amp; Nasution, 2023)","plainTextFormattedCitation":"(Al Barohin &amp; Nasution, 2023)","previouslyFormattedCitation":"(Al Barohin &amp; Nasution,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(Al Barohin &amp; Nasution,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w:t>
      </w:r>
      <w:r>
        <w:rPr>
          <w:rFonts w:ascii="Times New Roman" w:hAnsi="Times New Roman" w:cs="Times New Roman"/>
          <w:sz w:val="24"/>
          <w:szCs w:val="24"/>
        </w:rPr>
        <w:t xml:space="preserve"> </w:t>
      </w:r>
    </w:p>
    <w:p w14:paraId="112CEB86" w14:textId="77777777" w:rsidR="00D30FD3" w:rsidRPr="00AD212C" w:rsidRDefault="00D30FD3" w:rsidP="00D30FD3">
      <w:pPr>
        <w:pStyle w:val="ListParagraph"/>
        <w:spacing w:line="360" w:lineRule="auto"/>
        <w:ind w:left="360" w:firstLine="720"/>
        <w:rPr>
          <w:rFonts w:ascii="Times New Roman" w:hAnsi="Times New Roman" w:cs="Times New Roman"/>
          <w:sz w:val="24"/>
          <w:szCs w:val="24"/>
        </w:rPr>
      </w:pPr>
      <w:r w:rsidRPr="007D2A0D">
        <w:rPr>
          <w:rFonts w:ascii="Times New Roman" w:hAnsi="Times New Roman" w:cs="Times New Roman"/>
          <w:sz w:val="24"/>
          <w:szCs w:val="24"/>
        </w:rPr>
        <w:t xml:space="preserve">Harga yang </w:t>
      </w:r>
      <w:proofErr w:type="spellStart"/>
      <w:r w:rsidRPr="007D2A0D">
        <w:rPr>
          <w:rFonts w:ascii="Times New Roman" w:hAnsi="Times New Roman" w:cs="Times New Roman"/>
          <w:sz w:val="24"/>
          <w:szCs w:val="24"/>
        </w:rPr>
        <w:t>ditentukan</w:t>
      </w:r>
      <w:proofErr w:type="spellEnd"/>
      <w:r w:rsidRPr="007D2A0D">
        <w:rPr>
          <w:rFonts w:ascii="Times New Roman" w:hAnsi="Times New Roman" w:cs="Times New Roman"/>
          <w:sz w:val="24"/>
          <w:szCs w:val="24"/>
        </w:rPr>
        <w:t xml:space="preserve"> oleh </w:t>
      </w:r>
      <w:proofErr w:type="spellStart"/>
      <w:r w:rsidRPr="007D2A0D">
        <w:rPr>
          <w:rFonts w:ascii="Times New Roman" w:hAnsi="Times New Roman" w:cs="Times New Roman"/>
          <w:sz w:val="24"/>
          <w:szCs w:val="24"/>
        </w:rPr>
        <w:t>perusahaan</w:t>
      </w:r>
      <w:proofErr w:type="spellEnd"/>
      <w:r w:rsidRPr="007D2A0D">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dengan</w:t>
      </w:r>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harga</w:t>
      </w:r>
      <w:proofErr w:type="spellEnd"/>
      <w:r w:rsidRPr="007D2A0D">
        <w:rPr>
          <w:rFonts w:ascii="Times New Roman" w:hAnsi="Times New Roman" w:cs="Times New Roman"/>
          <w:sz w:val="24"/>
          <w:szCs w:val="24"/>
        </w:rPr>
        <w:t xml:space="preserve"> </w:t>
      </w:r>
      <w:proofErr w:type="spellStart"/>
      <w:r w:rsidRPr="007D2A0D">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AD212C">
        <w:rPr>
          <w:rFonts w:ascii="Times New Roman" w:hAnsi="Times New Roman" w:cs="Times New Roman"/>
          <w:sz w:val="24"/>
          <w:szCs w:val="24"/>
        </w:rPr>
        <w:t>dimana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tersebut </w:t>
      </w:r>
      <w:proofErr w:type="spellStart"/>
      <w:r w:rsidRPr="00AD212C">
        <w:rPr>
          <w:rFonts w:ascii="Times New Roman" w:hAnsi="Times New Roman" w:cs="Times New Roman"/>
          <w:sz w:val="24"/>
          <w:szCs w:val="24"/>
        </w:rPr>
        <w:t>d</w:t>
      </w:r>
      <w:r>
        <w:rPr>
          <w:rFonts w:ascii="Times New Roman" w:hAnsi="Times New Roman" w:cs="Times New Roman"/>
          <w:sz w:val="24"/>
          <w:szCs w:val="24"/>
        </w:rPr>
        <w: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aktivitas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penawaran</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permintaan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para </w:t>
      </w:r>
      <w:proofErr w:type="spellStart"/>
      <w:r w:rsidRPr="00AD212C">
        <w:rPr>
          <w:rFonts w:ascii="Times New Roman" w:hAnsi="Times New Roman" w:cs="Times New Roman"/>
          <w:sz w:val="24"/>
          <w:szCs w:val="24"/>
        </w:rPr>
        <w:t>pe</w:t>
      </w:r>
      <w:r>
        <w:rPr>
          <w:rFonts w:ascii="Times New Roman" w:hAnsi="Times New Roman" w:cs="Times New Roman"/>
          <w:sz w:val="24"/>
          <w:szCs w:val="24"/>
        </w:rPr>
        <w:t>mangku</w:t>
      </w:r>
      <w:proofErr w:type="spellEnd"/>
      <w:r w:rsidRPr="00AD212C">
        <w:rPr>
          <w:rFonts w:ascii="Times New Roman" w:hAnsi="Times New Roman" w:cs="Times New Roman"/>
          <w:sz w:val="24"/>
          <w:szCs w:val="24"/>
        </w:rPr>
        <w:t xml:space="preserve"> pasar </w:t>
      </w:r>
      <w:proofErr w:type="spellStart"/>
      <w:r w:rsidRPr="00AD212C">
        <w:rPr>
          <w:rFonts w:ascii="Times New Roman" w:hAnsi="Times New Roman" w:cs="Times New Roman"/>
          <w:sz w:val="24"/>
          <w:szCs w:val="24"/>
        </w:rPr>
        <w:t>terhadap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Pr>
          <w:rFonts w:ascii="Times New Roman" w:hAnsi="Times New Roman" w:cs="Times New Roman"/>
          <w:sz w:val="24"/>
          <w:szCs w:val="24"/>
        </w:rPr>
        <w:t xml:space="preserve"> </w:t>
      </w:r>
      <w:r w:rsidRPr="00AD212C">
        <w:rPr>
          <w:rFonts w:ascii="Times New Roman" w:hAnsi="Times New Roman" w:cs="Times New Roman"/>
          <w:sz w:val="24"/>
          <w:szCs w:val="24"/>
        </w:rPr>
        <w:t xml:space="preserve">yang </w:t>
      </w:r>
      <w:proofErr w:type="spellStart"/>
      <w:r w:rsidRPr="00AD212C">
        <w:rPr>
          <w:rFonts w:ascii="Times New Roman" w:hAnsi="Times New Roman" w:cs="Times New Roman"/>
          <w:sz w:val="24"/>
          <w:szCs w:val="24"/>
        </w:rPr>
        <w:t>terkait</w:t>
      </w:r>
      <w:proofErr w:type="spellEnd"/>
      <w:r w:rsidRPr="00AD212C">
        <w:rPr>
          <w:rFonts w:ascii="Times New Roman" w:hAnsi="Times New Roman" w:cs="Times New Roman"/>
          <w:sz w:val="24"/>
          <w:szCs w:val="24"/>
        </w:rPr>
        <w:t xml:space="preserve"> di pasar modal. Investor </w:t>
      </w:r>
      <w:proofErr w:type="spellStart"/>
      <w:r w:rsidRPr="00AD212C">
        <w:rPr>
          <w:rFonts w:ascii="Times New Roman" w:hAnsi="Times New Roman" w:cs="Times New Roman"/>
          <w:sz w:val="24"/>
          <w:szCs w:val="24"/>
        </w:rPr>
        <w:t>perlu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memahami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pentingnya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nilai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karena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mencerminkan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kondisi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finansial</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suatu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menjadi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landasan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bagi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keputusan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investasi</w:t>
      </w:r>
      <w:proofErr w:type="spellEnd"/>
      <w:r w:rsidRPr="00AD212C">
        <w:rPr>
          <w:rFonts w:ascii="Times New Roman" w:hAnsi="Times New Roman" w:cs="Times New Roman"/>
          <w:sz w:val="24"/>
          <w:szCs w:val="24"/>
        </w:rPr>
        <w:t xml:space="preserve">. Di dalam </w:t>
      </w:r>
      <w:proofErr w:type="spellStart"/>
      <w:r w:rsidRPr="00AD212C">
        <w:rPr>
          <w:rFonts w:ascii="Times New Roman" w:hAnsi="Times New Roman" w:cs="Times New Roman"/>
          <w:sz w:val="24"/>
          <w:szCs w:val="24"/>
        </w:rPr>
        <w:t>perdagangan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diperlukan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analisis</w:t>
      </w:r>
      <w:proofErr w:type="spellEnd"/>
      <w:r w:rsidRPr="00AD212C">
        <w:rPr>
          <w:rFonts w:ascii="Times New Roman" w:hAnsi="Times New Roman" w:cs="Times New Roman"/>
          <w:sz w:val="24"/>
          <w:szCs w:val="24"/>
        </w:rPr>
        <w:t xml:space="preserve"> pasar yang </w:t>
      </w:r>
      <w:proofErr w:type="spellStart"/>
      <w:r w:rsidRPr="00AD212C">
        <w:rPr>
          <w:rFonts w:ascii="Times New Roman" w:hAnsi="Times New Roman" w:cs="Times New Roman"/>
          <w:sz w:val="24"/>
          <w:szCs w:val="24"/>
        </w:rPr>
        <w:t>mendalam</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perkiraan</w:t>
      </w:r>
      <w:proofErr w:type="spellEnd"/>
      <w:r w:rsidRPr="00AD212C">
        <w:rPr>
          <w:rFonts w:ascii="Times New Roman" w:hAnsi="Times New Roman" w:cs="Times New Roman"/>
          <w:sz w:val="24"/>
          <w:szCs w:val="24"/>
        </w:rPr>
        <w:t xml:space="preserve"> masa </w:t>
      </w:r>
      <w:proofErr w:type="spellStart"/>
      <w:r w:rsidRPr="00AD212C">
        <w:rPr>
          <w:rFonts w:ascii="Times New Roman" w:hAnsi="Times New Roman" w:cs="Times New Roman"/>
          <w:sz w:val="24"/>
          <w:szCs w:val="24"/>
        </w:rPr>
        <w:t>depan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akurat</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{"citationItems":[{"id":"ITEM-1","itemData":{"DOI":"10.47467/alkharaj.v5i2.1314","ISSN":"2656-2871","abstract":"The property sector is one of the main sources for realizing investment, with the main sources coming from the industrial and housing sectors.the purpose of this study was to determine whether the variables EPS, ROE, and DER partially and simultaneosly affect the stock price variable. The study was conducted in property and real estate companies registered with JII70 for the period 2018-2020. The samples used were saturated samples taken from ten property and real estate. This research uses a type of quantitative approach. The data used is secondary data in the form of panel data obtained from the annual financial statements and closing stock prices of each company. The analysis method used is a regression analysis date panel eviews. The results showed partially that both EPS and DER variables had a positive effect on stock prices. While partially one variable that has no effect and negative to the stock price is ROE. Simultaneously the three variables EPS, ROE, dan DER have an effect on stock prices. \r Keywords: EPS; ROE; DER; stock price","author":[{"dropping-particle":"","family":"Janaina","given":"Nilna Nikmatul","non-dropping-particle":"","parse-names":false,"suffix":""},{"dropping-particle":"","family":"Yudiantoro","given":"Deny","non-dropping-particle":"","parse-names":false,"suffix":""}],"container-title":"Al-Kharaj : Jurnal Ekonomi, Keuangan &amp; Bisnis Syariah","id":"ITEM-1","issue":"2","issued":{"date-parts":[["2022"]]},"page":"762-771","title":"Pengaruh EPS, ROE Dan DER terhadap Harga Saham Properti dan Real Estate yang Terdaftar di JII70","type":"article-journal","volume":"5"},"uris":["http://www.mendeley.com/documents/?uuid=f750056e-c7e3-43cd-89d9-eebc83066742"]}],"mendeley":{"formattedCitation":"(Janaina &amp; Yudiantoro, 2022)","plainTextFormattedCitation":"(Janaina &amp; Yudiantoro, 2022)","previouslyFormattedCitation":"(Janaina &amp; Yudiantoro, 2022)"},"properties":{"noteIndex":0},"schema":"https://github.com/citation-style-language/schema/raw/master/csl-citation.json"}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(Janaina &amp; Yudiantoro, 2022)</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w:t>
      </w:r>
    </w:p>
    <w:p w14:paraId="03543EB0" w14:textId="77777777" w:rsidR="00D30FD3" w:rsidRPr="00AD212C" w:rsidRDefault="00D30FD3" w:rsidP="00D30FD3">
      <w:pPr>
        <w:pStyle w:val="ListParagraph"/>
        <w:spacing w:line="360" w:lineRule="auto"/>
        <w:ind w:left="360" w:firstLine="630"/>
        <w:rPr>
          <w:rFonts w:ascii="Times New Roman" w:hAnsi="Times New Roman" w:cs="Times New Roman"/>
          <w:sz w:val="24"/>
          <w:szCs w:val="24"/>
        </w:rPr>
      </w:pPr>
      <w:r w:rsidRPr="00AD212C">
        <w:rPr>
          <w:rFonts w:ascii="Times New Roman" w:hAnsi="Times New Roman" w:cs="Times New Roman"/>
          <w:sz w:val="24"/>
          <w:szCs w:val="24"/>
        </w:rPr>
        <w:t xml:space="preserve">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memainkan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penting</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AD212C">
        <w:rPr>
          <w:rFonts w:ascii="Times New Roman" w:hAnsi="Times New Roman" w:cs="Times New Roman"/>
          <w:sz w:val="24"/>
          <w:szCs w:val="24"/>
        </w:rPr>
        <w:t>dalam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pembangunan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infrastruktur</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fasilitas</w:t>
      </w:r>
      <w:proofErr w:type="spellEnd"/>
      <w:r w:rsidRPr="00AD212C">
        <w:rPr>
          <w:rFonts w:ascii="Times New Roman" w:hAnsi="Times New Roman" w:cs="Times New Roman"/>
          <w:sz w:val="24"/>
          <w:szCs w:val="24"/>
        </w:rPr>
        <w:t xml:space="preserve"> negara (</w:t>
      </w:r>
      <w:proofErr w:type="spellStart"/>
      <w:r w:rsidRPr="00AD212C">
        <w:rPr>
          <w:rFonts w:ascii="Times New Roman" w:hAnsi="Times New Roman" w:cs="Times New Roman"/>
          <w:sz w:val="24"/>
          <w:szCs w:val="24"/>
        </w:rPr>
        <w:t>Halwatura</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{"citationItems":[{"id":"ITEM-1","itemData":{"author":[{"dropping-particle":"","family":"Handayani","given":"Putri","non-dropping-particle":"","parse-names":false,"suffix":""},{"dropping-particle":"","family":"Rochmatullah","given":"Mahameru Rosy","non-dropping-particle":"","parse-names":false,"suffix":""}],"id":"ITEM-1","issue":"1","issued":{"date-parts":[["2024"]]},"page":"825-837","title":"SEIKO : Journal of Management &amp; Business Determinan Kinerja Keuangan Pada Perusahaan Kontruksi Bangunan ( Studi Pada Perusahaan Sub Sektor Konstruksi Bangunan Yang Terdaftar di BEI Selama Periode 2019-2022 )","type":"article-journal","volume":"7"},"uris":["http://www.mendeley.com/documents/?uuid=f331b818-6a82-429b-a16a-0e4959e08fbe"]}],"mendeley":{"formattedCitation":"(Handayani &amp; Rochmatullah, 2024)","manualFormatting":"dalam Handayani &amp; Rochmatullah, 2024)","plainTextFormattedCitation":"(Handayani &amp; Rochmatullah, 2024)","previouslyFormattedCitation":"(Handayani &amp; Rochmatullah, 2024)"},"properties":{"noteIndex":0},"schema":"https://github.com/citation-style-language/schema/raw/master/csl-citation.json"}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dalam Handayani &amp; Rochmatullah, 2024)</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umum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di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ini </w:t>
      </w:r>
      <w:proofErr w:type="spellStart"/>
      <w:r w:rsidRPr="00AD212C">
        <w:rPr>
          <w:rFonts w:ascii="Times New Roman" w:hAnsi="Times New Roman" w:cs="Times New Roman"/>
          <w:sz w:val="24"/>
          <w:szCs w:val="24"/>
        </w:rPr>
        <w:t>dianggap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memiliki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keuntungan</w:t>
      </w:r>
      <w:proofErr w:type="spellEnd"/>
      <w:r w:rsidRPr="00AD212C">
        <w:rPr>
          <w:rFonts w:ascii="Times New Roman" w:hAnsi="Times New Roman" w:cs="Times New Roman"/>
          <w:sz w:val="24"/>
          <w:szCs w:val="24"/>
        </w:rPr>
        <w:t xml:space="preserve"> dalam </w:t>
      </w:r>
      <w:proofErr w:type="spellStart"/>
      <w:r w:rsidRPr="00AD212C">
        <w:rPr>
          <w:rFonts w:ascii="Times New Roman" w:hAnsi="Times New Roman" w:cs="Times New Roman"/>
          <w:sz w:val="24"/>
          <w:szCs w:val="24"/>
        </w:rPr>
        <w:t>jangka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panjang</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memiliki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nilai</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dapat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dimanfaatkan</w:t>
      </w:r>
      <w:proofErr w:type="spellEnd"/>
      <w:r w:rsidRPr="00AD212C">
        <w:rPr>
          <w:rFonts w:ascii="Times New Roman" w:hAnsi="Times New Roman" w:cs="Times New Roman"/>
          <w:sz w:val="24"/>
          <w:szCs w:val="24"/>
        </w:rPr>
        <w:t xml:space="preserve"> oleh </w:t>
      </w:r>
      <w:proofErr w:type="spellStart"/>
      <w:r w:rsidRPr="00AD212C">
        <w:rPr>
          <w:rFonts w:ascii="Times New Roman" w:hAnsi="Times New Roman" w:cs="Times New Roman"/>
          <w:sz w:val="24"/>
          <w:szCs w:val="24"/>
        </w:rPr>
        <w:t>masyarakat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umum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Dibantu</w:t>
      </w:r>
      <w:proofErr w:type="spellEnd"/>
      <w:r w:rsidRPr="00AD212C">
        <w:rPr>
          <w:rFonts w:ascii="Times New Roman" w:hAnsi="Times New Roman" w:cs="Times New Roman"/>
          <w:sz w:val="24"/>
          <w:szCs w:val="24"/>
        </w:rPr>
        <w:t xml:space="preserve"> oleh </w:t>
      </w:r>
      <w:proofErr w:type="spellStart"/>
      <w:r w:rsidRPr="00AD212C">
        <w:rPr>
          <w:rFonts w:ascii="Times New Roman" w:hAnsi="Times New Roman" w:cs="Times New Roman"/>
          <w:sz w:val="24"/>
          <w:szCs w:val="24"/>
        </w:rPr>
        <w:t>sentimen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positif</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pemerintah</w:t>
      </w:r>
      <w:proofErr w:type="spellEnd"/>
      <w:r w:rsidRPr="00AD212C">
        <w:rPr>
          <w:rFonts w:ascii="Times New Roman" w:hAnsi="Times New Roman" w:cs="Times New Roman"/>
          <w:sz w:val="24"/>
          <w:szCs w:val="24"/>
        </w:rPr>
        <w:t xml:space="preserve"> melalui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pembangunan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nasional</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membuat</w:t>
      </w:r>
      <w:proofErr w:type="spellEnd"/>
      <w:r w:rsidRPr="00AD212C">
        <w:rPr>
          <w:rFonts w:ascii="Times New Roman" w:hAnsi="Times New Roman" w:cs="Times New Roman"/>
          <w:sz w:val="24"/>
          <w:szCs w:val="24"/>
        </w:rPr>
        <w:t xml:space="preserve"> investor </w:t>
      </w:r>
      <w:proofErr w:type="spellStart"/>
      <w:r w:rsidRPr="00AD212C">
        <w:rPr>
          <w:rFonts w:ascii="Times New Roman" w:hAnsi="Times New Roman" w:cs="Times New Roman"/>
          <w:sz w:val="24"/>
          <w:szCs w:val="24"/>
        </w:rPr>
        <w:t>tertarik</w:t>
      </w:r>
      <w:proofErr w:type="spellEnd"/>
      <w:r w:rsidRPr="00AD212C">
        <w:rPr>
          <w:rFonts w:ascii="Times New Roman" w:hAnsi="Times New Roman" w:cs="Times New Roman"/>
          <w:sz w:val="24"/>
          <w:szCs w:val="24"/>
        </w:rPr>
        <w:t xml:space="preserve"> untuk </w:t>
      </w:r>
      <w:proofErr w:type="spellStart"/>
      <w:r w:rsidRPr="00AD212C">
        <w:rPr>
          <w:rFonts w:ascii="Times New Roman" w:hAnsi="Times New Roman" w:cs="Times New Roman"/>
          <w:sz w:val="24"/>
          <w:szCs w:val="24"/>
        </w:rPr>
        <w:t>menanamkan</w:t>
      </w:r>
      <w:proofErr w:type="spellEnd"/>
      <w:r w:rsidRPr="00AD212C">
        <w:rPr>
          <w:rFonts w:ascii="Times New Roman" w:hAnsi="Times New Roman" w:cs="Times New Roman"/>
          <w:sz w:val="24"/>
          <w:szCs w:val="24"/>
        </w:rPr>
        <w:t xml:space="preserve"> modal di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jasa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bangunan</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ISSN":"2339-0840","author":[{"dropping-particle":"","family":"Maulana","given":"Ryan","non-dropping-particle":"","parse-names":false,"suffix":""},{"dropping-particle":"","family":"Adriana","given":"Mona","non-dropping-particle":"","parse-names":false,"suffix":""}],"container-title":"Jurnal Ekonomi Trisakti","id":"ITEM-1","issue":"2","issued":{"date-parts":[["2022"]]},"page":"845-856","title":"Faktor Yang Mempengaruhi Harga Saham Sub Sektor Jasa Konstruksi Dan Bangunan Yang Terdaftar Di Bursa Efek Indonesia Tahun 2015-2019","type":"article-journal","volume":"2"},"uris":["http://www.mendeley.com/documents/?uuid=6b7c0946-1abd-47e7-b850-5bd2a3fef788"]}],"mendeley":{"formattedCitation":"(Maulana &amp; Adriana, 2022)","plainTextFormattedCitation":"(Maulana &amp; Adriana, 2022)","previouslyFormattedCitation":"(Maulana &amp; Adriana, 2022)"},"properties":{"noteIndex":0},"schema":"https://github.com/citation-style-language/schema/raw/master/csl-citation.json"}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(Maulana &amp; Adriana, 2022)</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p>
    <w:p w14:paraId="51F59298" w14:textId="77777777" w:rsidR="00D30FD3" w:rsidRPr="0024237D" w:rsidRDefault="00D30FD3" w:rsidP="00D30FD3">
      <w:pPr>
        <w:pStyle w:val="ListParagraph"/>
        <w:keepNext/>
        <w:spacing w:line="360" w:lineRule="auto"/>
        <w:ind w:left="360" w:firstLine="270"/>
        <w:jc w:val="center"/>
        <w:rPr>
          <w:rFonts w:ascii="Times New Roman" w:hAnsi="Times New Roman" w:cs="Times New Roman"/>
          <w:i/>
          <w:iCs/>
        </w:rPr>
      </w:pPr>
      <w:r>
        <w:rPr>
          <w:rFonts w:ascii="Times New Roman" w:hAnsi="Times New Roman" w:cs="Times New Roman"/>
          <w:noProof/>
        </w:rPr>
        <w:lastRenderedPageBreak/>
        <w:drawing>
          <wp:inline distT="0" distB="0" distL="0" distR="0" wp14:anchorId="06036419" wp14:editId="4B23BA58">
            <wp:extent cx="4206240" cy="2286000"/>
            <wp:effectExtent l="0" t="0" r="3810" b="0"/>
            <wp:docPr id="8798699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05B4F3" w14:textId="77777777" w:rsidR="00D30FD3" w:rsidRPr="00AD212C" w:rsidRDefault="00D30FD3" w:rsidP="00D30FD3">
      <w:pPr>
        <w:pStyle w:val="ListParagraph"/>
        <w:keepNext/>
        <w:spacing w:after="20" w:line="240" w:lineRule="auto"/>
        <w:ind w:left="360"/>
        <w:jc w:val="center"/>
        <w:rPr>
          <w:rFonts w:ascii="Times New Roman" w:hAnsi="Times New Roman" w:cs="Times New Roman"/>
          <w:b/>
          <w:bCs/>
          <w:sz w:val="24"/>
          <w:szCs w:val="24"/>
        </w:rPr>
      </w:pPr>
      <w:r w:rsidRPr="00AD212C">
        <w:rPr>
          <w:rFonts w:ascii="Times New Roman" w:hAnsi="Times New Roman" w:cs="Times New Roman"/>
          <w:b/>
          <w:bCs/>
          <w:sz w:val="24"/>
          <w:szCs w:val="24"/>
        </w:rPr>
        <w:t>Gambar 1.</w:t>
      </w:r>
      <w:r w:rsidRPr="00AD212C">
        <w:rPr>
          <w:rFonts w:ascii="Times New Roman" w:hAnsi="Times New Roman" w:cs="Times New Roman"/>
          <w:b/>
          <w:bCs/>
          <w:sz w:val="24"/>
          <w:szCs w:val="24"/>
        </w:rPr>
        <w:fldChar w:fldCharType="begin"/>
      </w:r>
      <w:r w:rsidRPr="00AD212C">
        <w:rPr>
          <w:rFonts w:ascii="Times New Roman" w:hAnsi="Times New Roman" w:cs="Times New Roman"/>
          <w:b/>
          <w:bCs/>
          <w:sz w:val="24"/>
          <w:szCs w:val="24"/>
        </w:rPr>
        <w:instrText xml:space="preserve"> SEQ Gambar_1 \* ARABIC </w:instrText>
      </w:r>
      <w:r w:rsidRPr="00AD212C">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AD212C">
        <w:rPr>
          <w:rFonts w:ascii="Times New Roman" w:hAnsi="Times New Roman" w:cs="Times New Roman"/>
          <w:b/>
          <w:bCs/>
          <w:sz w:val="24"/>
          <w:szCs w:val="24"/>
        </w:rPr>
        <w:fldChar w:fldCharType="end"/>
      </w:r>
      <w:r w:rsidRPr="00AD212C">
        <w:rPr>
          <w:rFonts w:ascii="Times New Roman" w:hAnsi="Times New Roman" w:cs="Times New Roman"/>
          <w:b/>
          <w:bCs/>
          <w:sz w:val="24"/>
          <w:szCs w:val="24"/>
        </w:rPr>
        <w:t xml:space="preserve"> </w:t>
      </w:r>
      <w:r>
        <w:rPr>
          <w:rFonts w:ascii="Times New Roman" w:hAnsi="Times New Roman" w:cs="Times New Roman"/>
          <w:b/>
          <w:bCs/>
          <w:sz w:val="24"/>
          <w:szCs w:val="24"/>
        </w:rPr>
        <w:t>Diagram</w:t>
      </w:r>
      <w:r w:rsidRPr="00AD212C">
        <w:rPr>
          <w:rFonts w:ascii="Times New Roman" w:hAnsi="Times New Roman" w:cs="Times New Roman"/>
          <w:b/>
          <w:bCs/>
          <w:sz w:val="24"/>
          <w:szCs w:val="24"/>
        </w:rPr>
        <w:t xml:space="preserve"> Harga Saham Perusahaan </w:t>
      </w:r>
    </w:p>
    <w:p w14:paraId="56FBB60D" w14:textId="77777777" w:rsidR="00D30FD3" w:rsidRDefault="00D30FD3" w:rsidP="00D30FD3">
      <w:pPr>
        <w:pStyle w:val="ListParagraph"/>
        <w:keepNext/>
        <w:spacing w:after="120" w:line="240" w:lineRule="auto"/>
        <w:jc w:val="center"/>
        <w:rPr>
          <w:rFonts w:ascii="Times New Roman" w:hAnsi="Times New Roman" w:cs="Times New Roman"/>
          <w:b/>
          <w:bCs/>
          <w:sz w:val="24"/>
          <w:szCs w:val="24"/>
        </w:rPr>
      </w:pPr>
      <w:r w:rsidRPr="00AD212C">
        <w:rPr>
          <w:rFonts w:ascii="Times New Roman" w:hAnsi="Times New Roman" w:cs="Times New Roman"/>
          <w:b/>
          <w:bCs/>
          <w:sz w:val="24"/>
          <w:szCs w:val="24"/>
        </w:rPr>
        <w:t xml:space="preserve">Sub Sektor </w:t>
      </w:r>
      <w:proofErr w:type="spellStart"/>
      <w:r w:rsidRPr="00AD212C">
        <w:rPr>
          <w:rFonts w:ascii="Times New Roman" w:hAnsi="Times New Roman" w:cs="Times New Roman"/>
          <w:b/>
          <w:bCs/>
          <w:sz w:val="24"/>
          <w:szCs w:val="24"/>
        </w:rPr>
        <w:t>Konstruksi</w:t>
      </w:r>
      <w:proofErr w:type="spellEnd"/>
    </w:p>
    <w:p w14:paraId="11840085" w14:textId="77777777" w:rsidR="00D30FD3" w:rsidRPr="0052796E" w:rsidRDefault="00D30FD3" w:rsidP="00D30FD3">
      <w:pPr>
        <w:pStyle w:val="ListParagraph"/>
        <w:keepNext/>
        <w:spacing w:after="120" w:line="240" w:lineRule="auto"/>
        <w:jc w:val="center"/>
        <w:rPr>
          <w:rFonts w:ascii="Times New Roman" w:hAnsi="Times New Roman" w:cs="Times New Roman"/>
          <w:b/>
          <w:bCs/>
          <w:sz w:val="24"/>
          <w:szCs w:val="24"/>
        </w:rPr>
      </w:pPr>
    </w:p>
    <w:p w14:paraId="1014A218" w14:textId="77777777" w:rsidR="00D30FD3" w:rsidRPr="00AD212C" w:rsidRDefault="00D30FD3" w:rsidP="00D30FD3">
      <w:pPr>
        <w:pStyle w:val="ListParagraph"/>
        <w:spacing w:line="360" w:lineRule="auto"/>
        <w:ind w:left="360" w:firstLine="720"/>
        <w:rPr>
          <w:rFonts w:ascii="Times New Roman" w:hAnsi="Times New Roman" w:cs="Times New Roman"/>
          <w:sz w:val="24"/>
          <w:szCs w:val="24"/>
        </w:rPr>
      </w:pP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keseluruhan</w:t>
      </w:r>
      <w:proofErr w:type="spellEnd"/>
      <w:r w:rsidRPr="00AD212C">
        <w:rPr>
          <w:rFonts w:ascii="Times New Roman" w:hAnsi="Times New Roman" w:cs="Times New Roman"/>
          <w:sz w:val="24"/>
          <w:szCs w:val="24"/>
        </w:rPr>
        <w:t xml:space="preserve">, data </w:t>
      </w:r>
      <w:proofErr w:type="spellStart"/>
      <w:r w:rsidRPr="00AD212C">
        <w:rPr>
          <w:rFonts w:ascii="Times New Roman" w:hAnsi="Times New Roman" w:cs="Times New Roman"/>
          <w:sz w:val="24"/>
          <w:szCs w:val="24"/>
        </w:rPr>
        <w:t>diatas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w:t>
      </w:r>
      <w:r>
        <w:rPr>
          <w:rFonts w:ascii="Times New Roman" w:hAnsi="Times New Roman" w:cs="Times New Roman"/>
          <w:sz w:val="24"/>
          <w:szCs w:val="24"/>
        </w:rPr>
        <w:t>mperlihatkan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AD212C">
        <w:rPr>
          <w:rFonts w:ascii="Times New Roman" w:hAnsi="Times New Roman" w:cs="Times New Roman"/>
          <w:sz w:val="24"/>
          <w:szCs w:val="24"/>
        </w:rPr>
        <w:t>fluktuatif</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cenderung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menurun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setiap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AD212C">
        <w:rPr>
          <w:rFonts w:ascii="Times New Roman" w:hAnsi="Times New Roman" w:cs="Times New Roman"/>
          <w:sz w:val="24"/>
          <w:szCs w:val="24"/>
        </w:rPr>
        <w:t xml:space="preserve">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ini </w:t>
      </w:r>
      <w:proofErr w:type="spellStart"/>
      <w:r w:rsidRPr="00AD212C">
        <w:rPr>
          <w:rFonts w:ascii="Times New Roman" w:hAnsi="Times New Roman" w:cs="Times New Roman"/>
          <w:sz w:val="24"/>
          <w:szCs w:val="24"/>
        </w:rPr>
        <w:t>terjadi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karena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kontrak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baru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emitren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belum </w:t>
      </w:r>
      <w:proofErr w:type="spellStart"/>
      <w:r w:rsidRPr="00AD212C">
        <w:rPr>
          <w:rFonts w:ascii="Times New Roman" w:hAnsi="Times New Roman" w:cs="Times New Roman"/>
          <w:sz w:val="24"/>
          <w:szCs w:val="24"/>
        </w:rPr>
        <w:t>berdampak</w:t>
      </w:r>
      <w:proofErr w:type="spellEnd"/>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laba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Salah </w:t>
      </w:r>
      <w:proofErr w:type="spellStart"/>
      <w:r w:rsidRPr="00AD212C">
        <w:rPr>
          <w:rFonts w:ascii="Times New Roman" w:hAnsi="Times New Roman" w:cs="Times New Roman"/>
          <w:sz w:val="24"/>
          <w:szCs w:val="24"/>
        </w:rPr>
        <w:t>satu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kontrak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baru</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diterima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adalah</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IKN.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IKN </w:t>
      </w:r>
      <w:proofErr w:type="spellStart"/>
      <w:r w:rsidRPr="00AD212C">
        <w:rPr>
          <w:rFonts w:ascii="Times New Roman" w:hAnsi="Times New Roman" w:cs="Times New Roman"/>
          <w:sz w:val="24"/>
          <w:szCs w:val="24"/>
        </w:rPr>
        <w:t>merupakan</w:t>
      </w:r>
      <w:proofErr w:type="spellEnd"/>
      <w:r w:rsidRPr="00AD212C">
        <w:rPr>
          <w:rFonts w:ascii="Times New Roman" w:hAnsi="Times New Roman" w:cs="Times New Roman"/>
          <w:sz w:val="24"/>
          <w:szCs w:val="24"/>
        </w:rPr>
        <w:t xml:space="preserve"> salah </w:t>
      </w:r>
      <w:proofErr w:type="spellStart"/>
      <w:r w:rsidRPr="00AD212C">
        <w:rPr>
          <w:rFonts w:ascii="Times New Roman" w:hAnsi="Times New Roman" w:cs="Times New Roman"/>
          <w:sz w:val="24"/>
          <w:szCs w:val="24"/>
        </w:rPr>
        <w:t>satu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prioritas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strategis</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dimasukkan</w:t>
      </w:r>
      <w:proofErr w:type="spellEnd"/>
      <w:r w:rsidRPr="00AD212C">
        <w:rPr>
          <w:rFonts w:ascii="Times New Roman" w:hAnsi="Times New Roman" w:cs="Times New Roman"/>
          <w:sz w:val="24"/>
          <w:szCs w:val="24"/>
        </w:rPr>
        <w:t xml:space="preserve"> dalam </w:t>
      </w:r>
      <w:proofErr w:type="spellStart"/>
      <w:r w:rsidRPr="00AD212C">
        <w:rPr>
          <w:rFonts w:ascii="Times New Roman" w:hAnsi="Times New Roman" w:cs="Times New Roman"/>
          <w:sz w:val="24"/>
          <w:szCs w:val="24"/>
        </w:rPr>
        <w:t>Rencana</w:t>
      </w:r>
      <w:proofErr w:type="spellEnd"/>
      <w:r w:rsidRPr="00AD212C">
        <w:rPr>
          <w:rFonts w:ascii="Times New Roman" w:hAnsi="Times New Roman" w:cs="Times New Roman"/>
          <w:sz w:val="24"/>
          <w:szCs w:val="24"/>
        </w:rPr>
        <w:t xml:space="preserve"> Pembangunan </w:t>
      </w:r>
      <w:proofErr w:type="spellStart"/>
      <w:r w:rsidRPr="00AD212C">
        <w:rPr>
          <w:rFonts w:ascii="Times New Roman" w:hAnsi="Times New Roman" w:cs="Times New Roman"/>
          <w:sz w:val="24"/>
          <w:szCs w:val="24"/>
        </w:rPr>
        <w:t>Jangka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Menengah</w:t>
      </w:r>
      <w:proofErr w:type="spellEnd"/>
      <w:r w:rsidRPr="00AD212C">
        <w:rPr>
          <w:rFonts w:ascii="Times New Roman" w:hAnsi="Times New Roman" w:cs="Times New Roman"/>
          <w:sz w:val="24"/>
          <w:szCs w:val="24"/>
        </w:rPr>
        <w:t xml:space="preserve"> Nasional (RPJMN) </w:t>
      </w:r>
      <w:proofErr w:type="spellStart"/>
      <w:r w:rsidRPr="00AD212C">
        <w:rPr>
          <w:rFonts w:ascii="Times New Roman" w:hAnsi="Times New Roman" w:cs="Times New Roman"/>
          <w:sz w:val="24"/>
          <w:szCs w:val="24"/>
        </w:rPr>
        <w:t>periode</w:t>
      </w:r>
      <w:proofErr w:type="spellEnd"/>
      <w:r w:rsidRPr="00AD212C">
        <w:rPr>
          <w:rFonts w:ascii="Times New Roman" w:hAnsi="Times New Roman" w:cs="Times New Roman"/>
          <w:sz w:val="24"/>
          <w:szCs w:val="24"/>
        </w:rPr>
        <w:t xml:space="preserve"> 2020-2024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{"citationItems":[{"id":"ITEM-1","itemData":{"URL":"https://www.djkn.kemenkeu.go.id/artikel/baca/16126/Sekilas-Mengenai-Rencana-Pembangunan-Ibu-Kota-Negara-IKN-Nusantara.html#:~:text=Pelaksanaan pembangunan Ibu Kota Nusantara ini dilaksanakan dalam,proyek prioritas strategis yang tercantum dalam RPJMN 2020","accessed":{"date-parts":[["2024","4","21"]]},"author":[{"dropping-particle":"","family":"Muhammad Taffy Javier","given":"Wan","non-dropping-particle":"","parse-names":false,"suffix":""}],"container-title":"www.djkn.kemenkeu.go.id","id":"ITEM-1","issued":{"date-parts":[["2023"]]},"title":"Sekilas Mengenai Rencana Pembangunan Ibu Kota Negara (IKN) Nusantara","type":"webpage"},"uris":["http://www.mendeley.com/documents/?uuid=62a1f442-e1ae-471d-8a8f-114fda87e251"]}],"mendeley":{"formattedCitation":"(Muhammad Taffy Javier, 2023)","plainTextFormattedCitation":"(Muhammad Taffy Javier, 2023)","previouslyFormattedCitation":"(Muhammad Taffy Javier,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(Muhammad Taffy Javier,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bookmarkStart w:id="0" w:name="_Hlk179620490"/>
      <w:r w:rsidRPr="00AD212C">
        <w:rPr>
          <w:rFonts w:ascii="Times New Roman" w:hAnsi="Times New Roman" w:cs="Times New Roman"/>
          <w:sz w:val="24"/>
          <w:szCs w:val="24"/>
        </w:rPr>
        <w:t xml:space="preserve">Bagi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menerima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kontrak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baru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dianggap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penting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karena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dapat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mendorong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pendapatan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Namun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dilihat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laporan</w:t>
      </w:r>
      <w:proofErr w:type="spellEnd"/>
      <w:r w:rsidRPr="00AD212C">
        <w:rPr>
          <w:rFonts w:ascii="Times New Roman" w:hAnsi="Times New Roman" w:cs="Times New Roman"/>
          <w:sz w:val="24"/>
          <w:szCs w:val="24"/>
        </w:rPr>
        <w:t xml:space="preserve"> keuangan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laba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pada 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masih</w:t>
      </w:r>
      <w:proofErr w:type="spellEnd"/>
      <w:r w:rsidRPr="00AD212C">
        <w:rPr>
          <w:rFonts w:ascii="Times New Roman" w:hAnsi="Times New Roman" w:cs="Times New Roman"/>
          <w:sz w:val="24"/>
          <w:szCs w:val="24"/>
        </w:rPr>
        <w:t xml:space="preserve"> belum </w:t>
      </w:r>
      <w:proofErr w:type="spellStart"/>
      <w:r w:rsidRPr="00AD212C">
        <w:rPr>
          <w:rFonts w:ascii="Times New Roman" w:hAnsi="Times New Roman" w:cs="Times New Roman"/>
          <w:sz w:val="24"/>
          <w:szCs w:val="24"/>
        </w:rPr>
        <w:t>sebanding</w:t>
      </w:r>
      <w:proofErr w:type="spellEnd"/>
      <w:r w:rsidRPr="00AD212C">
        <w:rPr>
          <w:rFonts w:ascii="Times New Roman" w:hAnsi="Times New Roman" w:cs="Times New Roman"/>
          <w:sz w:val="24"/>
          <w:szCs w:val="24"/>
        </w:rPr>
        <w:t xml:space="preserve"> dengan </w:t>
      </w:r>
      <w:proofErr w:type="spellStart"/>
      <w:r w:rsidRPr="00AD212C">
        <w:rPr>
          <w:rFonts w:ascii="Times New Roman" w:hAnsi="Times New Roman" w:cs="Times New Roman"/>
          <w:sz w:val="24"/>
          <w:szCs w:val="24"/>
        </w:rPr>
        <w:t>kontrak</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diterima</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author":[{"dropping-particle":"","family":"Kurniawan","given":"Rivan","non-dropping-particle":"","parse-names":false,"suffix":""}],"id":"ITEM-1","issued":{"date-parts":[["2023"]]},"publisher":"www.youtube.com","publisher-place":"Indonesia","title":"Ada Proyek IKN, Kenapa Saham Konstruksi Pada Turun?","type":"motion_picture"},"uris":["http://www.mendeley.com/documents/?uuid=5b92e8a1-c172-4760-b3ef-5d15ea0d602e"]}],"mendeley":{"formattedCitation":"(Kurniawan, 2023)","plainTextFormattedCitation":"(Kurniawan, 2023)","previouslyFormattedCitation":"(Kurniawan,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(Kurniawan, 2023)</w:t>
      </w:r>
      <w:r w:rsidRPr="00AD212C">
        <w:rPr>
          <w:rFonts w:ascii="Times New Roman" w:hAnsi="Times New Roman" w:cs="Times New Roman"/>
          <w:sz w:val="24"/>
          <w:szCs w:val="24"/>
        </w:rPr>
        <w:fldChar w:fldCharType="end"/>
      </w:r>
      <w:bookmarkEnd w:id="0"/>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Bahkan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ada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rugi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2023 seperti PT Wijaya </w:t>
      </w:r>
      <w:proofErr w:type="spellStart"/>
      <w:r w:rsidRPr="00AD212C">
        <w:rPr>
          <w:rFonts w:ascii="Times New Roman" w:hAnsi="Times New Roman" w:cs="Times New Roman"/>
          <w:sz w:val="24"/>
          <w:szCs w:val="24"/>
        </w:rPr>
        <w:t>Karya</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kerugiannya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7,12 </w:t>
      </w:r>
      <w:proofErr w:type="spellStart"/>
      <w:r w:rsidRPr="00AD212C">
        <w:rPr>
          <w:rFonts w:ascii="Times New Roman" w:hAnsi="Times New Roman" w:cs="Times New Roman"/>
          <w:sz w:val="24"/>
          <w:szCs w:val="24"/>
        </w:rPr>
        <w:t>Triliun</w:t>
      </w:r>
      <w:proofErr w:type="spellEnd"/>
      <w:r w:rsidRPr="00AD212C">
        <w:rPr>
          <w:rFonts w:ascii="Times New Roman" w:hAnsi="Times New Roman" w:cs="Times New Roman"/>
          <w:sz w:val="24"/>
          <w:szCs w:val="24"/>
        </w:rPr>
        <w:t xml:space="preserve">. </w:t>
      </w:r>
    </w:p>
    <w:p w14:paraId="029B39E8" w14:textId="77777777" w:rsidR="00D30FD3" w:rsidRPr="00AD212C" w:rsidRDefault="00D30FD3" w:rsidP="00D30FD3">
      <w:pPr>
        <w:pStyle w:val="ListParagraph"/>
        <w:spacing w:line="360" w:lineRule="auto"/>
        <w:ind w:left="360" w:firstLine="720"/>
        <w:rPr>
          <w:rFonts w:ascii="Times New Roman" w:hAnsi="Times New Roman" w:cs="Times New Roman"/>
          <w:sz w:val="24"/>
          <w:szCs w:val="24"/>
        </w:rPr>
      </w:pPr>
      <w:bookmarkStart w:id="1" w:name="_Hlk179620512"/>
      <w:r w:rsidRPr="00AD212C">
        <w:rPr>
          <w:rFonts w:ascii="Times New Roman" w:hAnsi="Times New Roman" w:cs="Times New Roman"/>
          <w:sz w:val="24"/>
          <w:szCs w:val="24"/>
        </w:rPr>
        <w:t xml:space="preserve">Investor juga </w:t>
      </w:r>
      <w:proofErr w:type="spellStart"/>
      <w:r w:rsidRPr="00AD212C">
        <w:rPr>
          <w:rFonts w:ascii="Times New Roman" w:hAnsi="Times New Roman" w:cs="Times New Roman"/>
          <w:sz w:val="24"/>
          <w:szCs w:val="24"/>
        </w:rPr>
        <w:t>masih</w:t>
      </w:r>
      <w:proofErr w:type="spellEnd"/>
      <w:r w:rsidRPr="00AD212C">
        <w:rPr>
          <w:rFonts w:ascii="Times New Roman" w:hAnsi="Times New Roman" w:cs="Times New Roman"/>
          <w:sz w:val="24"/>
          <w:szCs w:val="24"/>
        </w:rPr>
        <w:t xml:space="preserve"> ragu </w:t>
      </w:r>
      <w:proofErr w:type="spellStart"/>
      <w:r w:rsidRPr="00AD212C">
        <w:rPr>
          <w:rFonts w:ascii="Times New Roman" w:hAnsi="Times New Roman" w:cs="Times New Roman"/>
          <w:sz w:val="24"/>
          <w:szCs w:val="24"/>
        </w:rPr>
        <w:t>terkait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keuntungan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akan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mereka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dapatkan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mengingat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proyek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IKN ini </w:t>
      </w:r>
      <w:proofErr w:type="spellStart"/>
      <w:r w:rsidRPr="00AD212C">
        <w:rPr>
          <w:rFonts w:ascii="Times New Roman" w:hAnsi="Times New Roman" w:cs="Times New Roman"/>
          <w:sz w:val="24"/>
          <w:szCs w:val="24"/>
        </w:rPr>
        <w:t>membutuhkan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pendanaan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cukup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besar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dimana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w:t>
      </w:r>
      <w:r>
        <w:rPr>
          <w:rFonts w:ascii="Times New Roman" w:hAnsi="Times New Roman" w:cs="Times New Roman"/>
          <w:sz w:val="24"/>
          <w:szCs w:val="24"/>
        </w:rPr>
        <w:t>refek</w:t>
      </w:r>
      <w:proofErr w:type="spellEnd"/>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likuiditas</w:t>
      </w:r>
      <w:proofErr w:type="spellEnd"/>
      <w:r w:rsidRPr="00AD212C">
        <w:rPr>
          <w:rFonts w:ascii="Times New Roman" w:hAnsi="Times New Roman" w:cs="Times New Roman"/>
          <w:sz w:val="24"/>
          <w:szCs w:val="24"/>
        </w:rPr>
        <w:t xml:space="preserve"> dan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sidRPr="00AD212C">
        <w:rPr>
          <w:rFonts w:ascii="Times New Roman" w:hAnsi="Times New Roman" w:cs="Times New Roman"/>
          <w:sz w:val="24"/>
          <w:szCs w:val="24"/>
        </w:rPr>
        <w:t xml:space="preserve"> keuangan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kemungkinan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ditopang</w:t>
      </w:r>
      <w:proofErr w:type="spellEnd"/>
      <w:r w:rsidRPr="00AD212C">
        <w:rPr>
          <w:rFonts w:ascii="Times New Roman" w:hAnsi="Times New Roman" w:cs="Times New Roman"/>
          <w:sz w:val="24"/>
          <w:szCs w:val="24"/>
        </w:rPr>
        <w:t xml:space="preserve"> oleh utang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URL":"https://investasi.kontan.co.id/news/sejumlah-emiten-bumn-karya-dapat-kontrak-baru-di-ikn-simak-rekomendasi-sahamnya","accessed":{"date-parts":[["2023","6","11"]]},"author":[{"dropping-particle":"","family":"Suryahadi","given":"Akhmad","non-dropping-particle":"","parse-names":false,"suffix":""}],"container-title":"Kontan.co.id","id":"ITEM-1","issued":{"date-parts":[["2023"]]},"title":"Sejumlah Emiten BUMN Karya Dapat Kontrak Baru di IKN, Simak Rekomendasi Sahamnya","type":"webpage"},"uris":["http://www.mendeley.com/documents/?uuid=2bfbb527-5b85-4af1-ba0a-1740680b5cd3"]}],"mendeley":{"formattedCitation":"(Suryahadi, 2023)","plainTextFormattedCitation":"(Suryahadi, 2023)","previouslyFormattedCitation":"(Suryahadi,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(Suryahadi,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w:t>
      </w:r>
      <w:bookmarkEnd w:id="1"/>
      <w:r w:rsidRPr="00AD212C">
        <w:rPr>
          <w:rFonts w:ascii="Times New Roman" w:hAnsi="Times New Roman" w:cs="Times New Roman"/>
          <w:sz w:val="24"/>
          <w:szCs w:val="24"/>
        </w:rPr>
        <w:t xml:space="preserve"> Salah </w:t>
      </w:r>
      <w:proofErr w:type="spellStart"/>
      <w:r w:rsidRPr="00AD212C">
        <w:rPr>
          <w:rFonts w:ascii="Times New Roman" w:hAnsi="Times New Roman" w:cs="Times New Roman"/>
          <w:sz w:val="24"/>
          <w:szCs w:val="24"/>
        </w:rPr>
        <w:t>satu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mem</w:t>
      </w:r>
      <w:r>
        <w:rPr>
          <w:rFonts w:ascii="Times New Roman" w:hAnsi="Times New Roman" w:cs="Times New Roman"/>
          <w:sz w:val="24"/>
          <w:szCs w:val="24"/>
        </w:rPr>
        <w:t>punyai</w:t>
      </w:r>
      <w:proofErr w:type="spellEnd"/>
      <w:r w:rsidRPr="00AD212C">
        <w:rPr>
          <w:rFonts w:ascii="Times New Roman" w:hAnsi="Times New Roman" w:cs="Times New Roman"/>
          <w:sz w:val="24"/>
          <w:szCs w:val="24"/>
        </w:rPr>
        <w:t xml:space="preserve"> utang yang </w:t>
      </w:r>
      <w:proofErr w:type="spellStart"/>
      <w:r w:rsidRPr="00AD212C">
        <w:rPr>
          <w:rFonts w:ascii="Times New Roman" w:hAnsi="Times New Roman" w:cs="Times New Roman"/>
          <w:sz w:val="24"/>
          <w:szCs w:val="24"/>
        </w:rPr>
        <w:t>cukup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besar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yaitu</w:t>
      </w:r>
      <w:proofErr w:type="spellEnd"/>
      <w:r w:rsidRPr="00AD212C">
        <w:rPr>
          <w:rFonts w:ascii="Times New Roman" w:hAnsi="Times New Roman" w:cs="Times New Roman"/>
          <w:sz w:val="24"/>
          <w:szCs w:val="24"/>
        </w:rPr>
        <w:t xml:space="preserve"> PT </w:t>
      </w:r>
      <w:proofErr w:type="spellStart"/>
      <w:r w:rsidRPr="00AD212C">
        <w:rPr>
          <w:rFonts w:ascii="Times New Roman" w:hAnsi="Times New Roman" w:cs="Times New Roman"/>
          <w:sz w:val="24"/>
          <w:szCs w:val="24"/>
        </w:rPr>
        <w:t>Waskita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Karya</w:t>
      </w:r>
      <w:proofErr w:type="spellEnd"/>
      <w:r>
        <w:rPr>
          <w:rFonts w:ascii="Times New Roman" w:hAnsi="Times New Roman" w:cs="Times New Roman"/>
          <w:sz w:val="24"/>
          <w:szCs w:val="24"/>
        </w:rPr>
        <w:t xml:space="preserve"> atau</w:t>
      </w:r>
      <w:r w:rsidRPr="00AD212C">
        <w:rPr>
          <w:rFonts w:ascii="Times New Roman" w:hAnsi="Times New Roman" w:cs="Times New Roman"/>
          <w:sz w:val="24"/>
          <w:szCs w:val="24"/>
        </w:rPr>
        <w:t xml:space="preserve"> WSKT yang </w:t>
      </w:r>
      <w:proofErr w:type="spellStart"/>
      <w:r w:rsidRPr="00AD212C">
        <w:rPr>
          <w:rFonts w:ascii="Times New Roman" w:hAnsi="Times New Roman" w:cs="Times New Roman"/>
          <w:sz w:val="24"/>
          <w:szCs w:val="24"/>
        </w:rPr>
        <w:t>mencatat</w:t>
      </w:r>
      <w:proofErr w:type="spellEnd"/>
      <w:r w:rsidRPr="00AD212C">
        <w:rPr>
          <w:rFonts w:ascii="Times New Roman" w:hAnsi="Times New Roman" w:cs="Times New Roman"/>
          <w:sz w:val="24"/>
          <w:szCs w:val="24"/>
        </w:rPr>
        <w:t xml:space="preserve"> utang </w:t>
      </w:r>
      <w:proofErr w:type="spellStart"/>
      <w:r w:rsidRPr="00AD212C">
        <w:rPr>
          <w:rFonts w:ascii="Times New Roman" w:hAnsi="Times New Roman" w:cs="Times New Roman"/>
          <w:sz w:val="24"/>
          <w:szCs w:val="24"/>
        </w:rPr>
        <w:lastRenderedPageBreak/>
        <w:t>seb</w:t>
      </w:r>
      <w:r>
        <w:rPr>
          <w:rFonts w:ascii="Times New Roman" w:hAnsi="Times New Roman" w:cs="Times New Roman"/>
          <w:sz w:val="24"/>
          <w:szCs w:val="24"/>
        </w:rPr>
        <w:t>anyak</w:t>
      </w:r>
      <w:proofErr w:type="spellEnd"/>
      <w:r w:rsidRPr="00AD212C">
        <w:rPr>
          <w:rFonts w:ascii="Times New Roman" w:hAnsi="Times New Roman" w:cs="Times New Roman"/>
          <w:sz w:val="24"/>
          <w:szCs w:val="24"/>
        </w:rPr>
        <w:t xml:space="preserve"> Rp 41,2 </w:t>
      </w:r>
      <w:proofErr w:type="spellStart"/>
      <w:r w:rsidRPr="00AD212C">
        <w:rPr>
          <w:rFonts w:ascii="Times New Roman" w:hAnsi="Times New Roman" w:cs="Times New Roman"/>
          <w:sz w:val="24"/>
          <w:szCs w:val="24"/>
        </w:rPr>
        <w:t>Triliun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2023. Utang </w:t>
      </w:r>
      <w:r>
        <w:rPr>
          <w:rFonts w:ascii="Times New Roman" w:hAnsi="Times New Roman" w:cs="Times New Roman"/>
          <w:sz w:val="24"/>
          <w:szCs w:val="24"/>
        </w:rPr>
        <w:t xml:space="preserve">PT </w:t>
      </w:r>
      <w:r w:rsidRPr="00AD212C">
        <w:rPr>
          <w:rFonts w:ascii="Times New Roman" w:hAnsi="Times New Roman" w:cs="Times New Roman"/>
          <w:sz w:val="24"/>
          <w:szCs w:val="24"/>
        </w:rPr>
        <w:t xml:space="preserve">WSKT itu </w:t>
      </w:r>
      <w:proofErr w:type="spellStart"/>
      <w:r w:rsidRPr="00AD212C">
        <w:rPr>
          <w:rFonts w:ascii="Times New Roman" w:hAnsi="Times New Roman" w:cs="Times New Roman"/>
          <w:sz w:val="24"/>
          <w:szCs w:val="24"/>
        </w:rPr>
        <w:t>terdiri</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surat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berharga</w:t>
      </w:r>
      <w:proofErr w:type="spellEnd"/>
      <w:r w:rsidRPr="00AD212C">
        <w:rPr>
          <w:rFonts w:ascii="Times New Roman" w:hAnsi="Times New Roman" w:cs="Times New Roman"/>
          <w:sz w:val="24"/>
          <w:szCs w:val="24"/>
        </w:rPr>
        <w:t xml:space="preserve"> dan utang </w:t>
      </w:r>
      <w:proofErr w:type="spellStart"/>
      <w:r w:rsidRPr="00AD212C">
        <w:rPr>
          <w:rFonts w:ascii="Times New Roman" w:hAnsi="Times New Roman" w:cs="Times New Roman"/>
          <w:sz w:val="24"/>
          <w:szCs w:val="24"/>
        </w:rPr>
        <w:t>perbankan</w:t>
      </w:r>
      <w:proofErr w:type="spellEnd"/>
      <w:r w:rsidRPr="00AD212C">
        <w:rPr>
          <w:rFonts w:ascii="Times New Roman" w:hAnsi="Times New Roman" w:cs="Times New Roman"/>
          <w:sz w:val="24"/>
          <w:szCs w:val="24"/>
        </w:rPr>
        <w:t xml:space="preserve">, seperti </w:t>
      </w:r>
      <w:proofErr w:type="spellStart"/>
      <w:r w:rsidRPr="00AD212C">
        <w:rPr>
          <w:rFonts w:ascii="Times New Roman" w:hAnsi="Times New Roman" w:cs="Times New Roman"/>
          <w:sz w:val="24"/>
          <w:szCs w:val="24"/>
        </w:rPr>
        <w:t>obligasi</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URL":"https://investasi.kontan.co.id/news/begini-kabar-terbaru-restrukturisasi-utang-waskita-karya-wskt-total-rp-412-triliun","accessed":{"date-parts":[["2024","6","11"]]},"author":[{"dropping-particle":"","family":"Nityakanti","given":"Pulina","non-dropping-particle":"","parse-names":false,"suffix":""}],"container-title":"Kontan.co.id","id":"ITEM-1","issued":{"date-parts":[["2024"]]},"title":"Begini Kabar Terbaru Restrukturisasi Utang Waskita Karya (WSKT) Total Rp 41,2 Triliun","type":"webpage"},"uris":["http://www.mendeley.com/documents/?uuid=9877fa53-3fbc-4165-b093-eb129bb14f79"]}],"mendeley":{"formattedCitation":"(Nityakanti, 2024)","plainTextFormattedCitation":"(Nityakanti, 2024)","previouslyFormattedCitation":"(Nityakanti, 2024)"},"properties":{"noteIndex":0},"schema":"https://github.com/citation-style-language/schema/raw/master/csl-citation.json"}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(Nityakanti, 2024)</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Hutang</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tinggi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menunjukan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bahwa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bergantung</w:t>
      </w:r>
      <w:proofErr w:type="spellEnd"/>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kreditur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sehingga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risiko</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juga </w:t>
      </w:r>
      <w:proofErr w:type="spellStart"/>
      <w:r w:rsidRPr="00AD212C">
        <w:rPr>
          <w:rFonts w:ascii="Times New Roman" w:hAnsi="Times New Roman" w:cs="Times New Roman"/>
          <w:sz w:val="24"/>
          <w:szCs w:val="24"/>
        </w:rPr>
        <w:t>semakin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tinggi</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{"citationItems":[{"id":"ITEM-1","itemData":{"DOI":"10.36406/jemi.v28i01.258","ISSN":"0854-0985","abstract":"Abstrak- Penelitian ini bertujuan untuk menguji struktur modal, ukuran perusahaan, pertumbuhan penjualan, profitabilitas, likuiditas, investment opportunity set dan return saham.  Penelitian ini dilakukan pada 30 perusahaan properti dan real estate yang terdaftar di Bursa Efek Indonesia pada periode pengamatan 2013-2017 dengan jumlah sampel 150 perusahaan properti dan real estate. Teknik pengumpulan data menggunakan metode dokumentasi di situs resmi bursa efek indonesia dan yahoo finance. Data penelitian ini menggunakan data panel, dan untuk menguji variabel intervensi dengan Structural Equation Model (SEM). Hasilnya adalah struktur modal tidak memiliki pengaruh pada investment opportunity set; ukuran perusahaan tidak memiliki pengaruh pada investment opportunity set; pertumbuhan penjualan tidak memiliki pengaruh pada investment opportunity set; profitabilitas memiliki pengaruh pada investment opportunity set; likuiditas memiliki pengaruh pada investment opportunity set; dan faktor-faktor yang mempengaruhi investment opportunity set mampu meningkatkan pengaruh investment opportunity set terhadap return saham. Hal ini digambarkan dengan hubungan profitabilitas, investment opportunity set dan return saham yang berpengaruh signifikan dan hubungan struktur modal, investment opportunity set dan return saham yang berpengaruh signifikan.","author":[{"dropping-particle":"","family":"Kusumawati","given":"Dian","non-dropping-particle":"","parse-names":false,"suffix":""},{"dropping-particle":"","family":"Anhar","given":"Muhammad","non-dropping-particle":"","parse-names":false,"suffix":""}],"container-title":"Jurnal STEI Ekonomi","id":"ITEM-1","issue":"01","issued":{"date-parts":[["2019"]]},"page":"1-27","title":"Analisis Faktor–Faktor Yang Mempengaruhi Investment Opportunity Set Dan Implikasinya Terhadap Return Saham","type":"article-journal","volume":"28"},"uris":["http://www.mendeley.com/documents/?uuid=3bec5502-9441-438e-8851-dc752e506e67"]}],"mendeley":{"formattedCitation":"(Kusumawati &amp; Anhar, 2019)","plainTextFormattedCitation":"(Kusumawati &amp; Anhar, 2019)","previouslyFormattedCitation":"(Kusumawati &amp; Anhar, 2019)"},"properties":{"noteIndex":0},"schema":"https://github.com/citation-style-language/schema/raw/master/csl-citation.json"}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(Kusumawati &amp; Anhar, 2019)</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w:t>
      </w:r>
    </w:p>
    <w:p w14:paraId="18091BD3" w14:textId="77777777" w:rsidR="00D30FD3" w:rsidRDefault="00D30FD3" w:rsidP="00D30FD3">
      <w:pPr>
        <w:pStyle w:val="ListParagraph"/>
        <w:spacing w:line="360" w:lineRule="auto"/>
        <w:ind w:left="360" w:firstLine="720"/>
        <w:rPr>
          <w:rFonts w:ascii="Times New Roman" w:hAnsi="Times New Roman" w:cs="Times New Roman"/>
          <w:i/>
          <w:iCs/>
          <w:sz w:val="24"/>
          <w:szCs w:val="24"/>
        </w:rPr>
      </w:pPr>
      <w:bookmarkStart w:id="2" w:name="_Hlk179620541"/>
      <w:r w:rsidRPr="00AD212C">
        <w:rPr>
          <w:rFonts w:ascii="Times New Roman" w:hAnsi="Times New Roman" w:cs="Times New Roman"/>
          <w:sz w:val="24"/>
          <w:szCs w:val="24"/>
        </w:rPr>
        <w:t xml:space="preserve">Selain itu, </w:t>
      </w:r>
      <w:proofErr w:type="spellStart"/>
      <w:r w:rsidRPr="00AD212C">
        <w:rPr>
          <w:rFonts w:ascii="Times New Roman" w:hAnsi="Times New Roman" w:cs="Times New Roman"/>
          <w:sz w:val="24"/>
          <w:szCs w:val="24"/>
        </w:rPr>
        <w:t>penyebab</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turunnya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Pr>
          <w:rFonts w:ascii="Times New Roman" w:hAnsi="Times New Roman" w:cs="Times New Roman"/>
          <w:sz w:val="24"/>
          <w:szCs w:val="24"/>
        </w:rPr>
        <w:t xml:space="preserve"> pada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bisa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faktor</w:t>
      </w:r>
      <w:proofErr w:type="spellEnd"/>
      <w:r w:rsidRPr="00AD212C">
        <w:rPr>
          <w:rFonts w:ascii="Times New Roman" w:hAnsi="Times New Roman" w:cs="Times New Roman"/>
          <w:sz w:val="24"/>
          <w:szCs w:val="24"/>
        </w:rPr>
        <w:t xml:space="preserve"> fundamental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Faktor fundamental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ini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r w:rsidRPr="00AD212C">
        <w:rPr>
          <w:rFonts w:ascii="Times New Roman" w:hAnsi="Times New Roman" w:cs="Times New Roman"/>
          <w:sz w:val="24"/>
          <w:szCs w:val="24"/>
        </w:rPr>
        <w:t xml:space="preserve">dengan </w:t>
      </w:r>
      <w:proofErr w:type="spellStart"/>
      <w:r w:rsidRPr="00AD212C">
        <w:rPr>
          <w:rFonts w:ascii="Times New Roman" w:hAnsi="Times New Roman" w:cs="Times New Roman"/>
          <w:sz w:val="24"/>
          <w:szCs w:val="24"/>
        </w:rPr>
        <w:t>k</w:t>
      </w:r>
      <w:r>
        <w:rPr>
          <w:rFonts w:ascii="Times New Roman" w:hAnsi="Times New Roman" w:cs="Times New Roman"/>
          <w:sz w:val="24"/>
          <w:szCs w:val="24"/>
        </w:rPr>
        <w:t>emampuan</w:t>
      </w:r>
      <w:proofErr w:type="spellEnd"/>
      <w:r w:rsidRPr="00AD212C">
        <w:rPr>
          <w:rFonts w:ascii="Times New Roman" w:hAnsi="Times New Roman" w:cs="Times New Roman"/>
          <w:sz w:val="24"/>
          <w:szCs w:val="24"/>
        </w:rPr>
        <w:t xml:space="preserve"> keuangan </w:t>
      </w:r>
      <w:proofErr w:type="spellStart"/>
      <w:r>
        <w:rPr>
          <w:rFonts w:ascii="Times New Roman" w:hAnsi="Times New Roman" w:cs="Times New Roman"/>
          <w:sz w:val="24"/>
          <w:szCs w:val="24"/>
        </w:rPr>
        <w:t>di</w:t>
      </w:r>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w:t>
      </w:r>
      <w:bookmarkEnd w:id="2"/>
      <w:r w:rsidRPr="00AD212C">
        <w:rPr>
          <w:rFonts w:ascii="Times New Roman" w:hAnsi="Times New Roman" w:cs="Times New Roman"/>
          <w:sz w:val="24"/>
          <w:szCs w:val="24"/>
        </w:rPr>
        <w:t xml:space="preserve"> Hal yang </w:t>
      </w:r>
      <w:proofErr w:type="spellStart"/>
      <w:r w:rsidRPr="00AD212C">
        <w:rPr>
          <w:rFonts w:ascii="Times New Roman" w:hAnsi="Times New Roman" w:cs="Times New Roman"/>
          <w:sz w:val="24"/>
          <w:szCs w:val="24"/>
        </w:rPr>
        <w:t>mencerminkan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sidRPr="00AD212C">
        <w:rPr>
          <w:rFonts w:ascii="Times New Roman" w:hAnsi="Times New Roman" w:cs="Times New Roman"/>
          <w:sz w:val="24"/>
          <w:szCs w:val="24"/>
        </w:rPr>
        <w:t xml:space="preserve"> keuangan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rasio</w:t>
      </w:r>
      <w:proofErr w:type="spellEnd"/>
      <w:r w:rsidRPr="00AD212C">
        <w:rPr>
          <w:rFonts w:ascii="Times New Roman" w:hAnsi="Times New Roman" w:cs="Times New Roman"/>
          <w:sz w:val="24"/>
          <w:szCs w:val="24"/>
        </w:rPr>
        <w:t xml:space="preserve"> keuangan seperti</w:t>
      </w:r>
      <w:r w:rsidRPr="00AD212C">
        <w:rPr>
          <w:rFonts w:ascii="Times New Roman" w:hAnsi="Times New Roman" w:cs="Times New Roman"/>
          <w:i/>
          <w:iCs/>
          <w:sz w:val="24"/>
          <w:szCs w:val="24"/>
        </w:rPr>
        <w:t xml:space="preserve"> Earning Per Share, Current Ratio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Debt to Equity Ratio </w:t>
      </w:r>
      <w:r w:rsidRPr="00AD212C">
        <w:rPr>
          <w:rFonts w:ascii="Times New Roman" w:hAnsi="Times New Roman" w:cs="Times New Roman"/>
          <w:i/>
          <w:iCs/>
          <w:sz w:val="24"/>
          <w:szCs w:val="24"/>
        </w:rPr>
        <w:fldChar w:fldCharType="begin" w:fldLock="1"/>
      </w:r>
      <w:r w:rsidRPr="00AD212C">
        <w:rPr>
          <w:rFonts w:ascii="Times New Roman" w:hAnsi="Times New Roman" w:cs="Times New Roman"/>
          <w:i/>
          <w:iCs/>
          <w:sz w:val="24"/>
          <w:szCs w:val="24"/>
        </w:rPr>
        <w:instrText>ADDIN CSL_CITATION {"citationItems":[{"id":"ITEM-1","itemData":{"URL":"https://www.idxchannel.com/market-news/6-penyebab-naik-turun-harga-saham-di-suatu-perusahaan","accessed":{"date-parts":[["2024","6","11"]]},"author":[{"dropping-particle":"","family":"Setyo Nugroho","given":"Rizki","non-dropping-particle":"","parse-names":false,"suffix":""}],"container-title":"www.idxchannel.com","id":"ITEM-1","issued":{"date-parts":[["2023"]]},"title":"6 Penyebab Naik Turun Harga Saham di Suatu Perusahaan","type":"webpage"},"uris":["http://www.mendeley.com/documents/?uuid=8525dd5d-8357-410c-865f-9bfc0776c92c"]}],"mendeley":{"formattedCitation":"(Setyo Nugroho, 2023)","plainTextFormattedCitation":"(Setyo Nugroho, 2023)","previouslyFormattedCitation":"(Setyo Nugroho, 2023)"},"properties":{"noteIndex":0},"schema":"https://github.com/citation-style-language/schema/raw/master/csl-citation.json"}</w:instrText>
      </w:r>
      <w:r w:rsidRPr="00AD212C">
        <w:rPr>
          <w:rFonts w:ascii="Times New Roman" w:hAnsi="Times New Roman" w:cs="Times New Roman"/>
          <w:i/>
          <w:iCs/>
          <w:sz w:val="24"/>
          <w:szCs w:val="24"/>
        </w:rPr>
        <w:fldChar w:fldCharType="separate"/>
      </w:r>
      <w:r w:rsidRPr="00AD212C">
        <w:rPr>
          <w:rFonts w:ascii="Times New Roman" w:hAnsi="Times New Roman" w:cs="Times New Roman"/>
          <w:iCs/>
          <w:noProof/>
          <w:sz w:val="24"/>
          <w:szCs w:val="24"/>
        </w:rPr>
        <w:t>(Setyo Nugroho, 2023)</w:t>
      </w:r>
      <w:r w:rsidRPr="00AD212C">
        <w:rPr>
          <w:rFonts w:ascii="Times New Roman" w:hAnsi="Times New Roman" w:cs="Times New Roman"/>
          <w:i/>
          <w:iCs/>
          <w:sz w:val="24"/>
          <w:szCs w:val="24"/>
        </w:rPr>
        <w:fldChar w:fldCharType="end"/>
      </w:r>
      <w:r w:rsidRPr="00AD212C">
        <w:rPr>
          <w:rFonts w:ascii="Times New Roman" w:hAnsi="Times New Roman" w:cs="Times New Roman"/>
          <w:i/>
          <w:iCs/>
          <w:sz w:val="24"/>
          <w:szCs w:val="24"/>
        </w:rPr>
        <w:t>.</w:t>
      </w:r>
    </w:p>
    <w:p w14:paraId="307D3D61" w14:textId="77777777" w:rsidR="00D30FD3" w:rsidRPr="00AD212C" w:rsidRDefault="00D30FD3" w:rsidP="00D30FD3">
      <w:pPr>
        <w:pStyle w:val="ListParagraph"/>
        <w:spacing w:after="0" w:line="240" w:lineRule="auto"/>
        <w:ind w:left="360" w:firstLine="720"/>
        <w:rPr>
          <w:rFonts w:ascii="Times New Roman" w:hAnsi="Times New Roman" w:cs="Times New Roman"/>
          <w:sz w:val="24"/>
          <w:szCs w:val="24"/>
        </w:rPr>
      </w:pPr>
    </w:p>
    <w:p w14:paraId="4FA886E8" w14:textId="77777777" w:rsidR="00D30FD3" w:rsidRPr="0024237D" w:rsidRDefault="00D30FD3" w:rsidP="00D30FD3">
      <w:pPr>
        <w:pStyle w:val="ListParagraph"/>
        <w:keepNext/>
        <w:spacing w:after="0" w:line="360" w:lineRule="auto"/>
        <w:ind w:left="360"/>
        <w:jc w:val="center"/>
        <w:rPr>
          <w:rFonts w:ascii="Times New Roman" w:hAnsi="Times New Roman" w:cs="Times New Roman"/>
        </w:rPr>
      </w:pPr>
      <w:r>
        <w:rPr>
          <w:rFonts w:ascii="Times New Roman" w:hAnsi="Times New Roman" w:cs="Times New Roman"/>
          <w:noProof/>
        </w:rPr>
        <w:drawing>
          <wp:inline distT="0" distB="0" distL="0" distR="0" wp14:anchorId="34B0A2B4" wp14:editId="775E99F8">
            <wp:extent cx="4206240" cy="2286000"/>
            <wp:effectExtent l="0" t="0" r="3810" b="0"/>
            <wp:docPr id="18467385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4C55DD" w14:textId="77777777" w:rsidR="00D30FD3" w:rsidRDefault="00D30FD3" w:rsidP="00D30FD3">
      <w:pPr>
        <w:pStyle w:val="Caption"/>
        <w:spacing w:after="20" w:line="240" w:lineRule="auto"/>
        <w:ind w:left="360"/>
        <w:jc w:val="center"/>
        <w:rPr>
          <w:rFonts w:ascii="Times New Roman" w:hAnsi="Times New Roman" w:cs="Times New Roman"/>
          <w:sz w:val="24"/>
          <w:szCs w:val="24"/>
        </w:rPr>
      </w:pPr>
      <w:r w:rsidRPr="00AD212C">
        <w:rPr>
          <w:rFonts w:ascii="Times New Roman" w:hAnsi="Times New Roman" w:cs="Times New Roman"/>
          <w:sz w:val="24"/>
          <w:szCs w:val="24"/>
        </w:rPr>
        <w:t>Gambar 1.</w:t>
      </w:r>
      <w:r w:rsidRPr="00AD212C">
        <w:rPr>
          <w:rFonts w:ascii="Times New Roman" w:hAnsi="Times New Roman" w:cs="Times New Roman"/>
          <w:b w:val="0"/>
          <w:bCs w:val="0"/>
          <w:i/>
          <w:iCs/>
          <w:sz w:val="24"/>
          <w:szCs w:val="24"/>
        </w:rPr>
        <w:fldChar w:fldCharType="begin"/>
      </w:r>
      <w:r w:rsidRPr="00AD212C">
        <w:rPr>
          <w:rFonts w:ascii="Times New Roman" w:hAnsi="Times New Roman" w:cs="Times New Roman"/>
          <w:sz w:val="24"/>
          <w:szCs w:val="24"/>
        </w:rPr>
        <w:instrText xml:space="preserve"> SEQ Gambar_1 \* ARABIC </w:instrText>
      </w:r>
      <w:r w:rsidRPr="00AD212C">
        <w:rPr>
          <w:rFonts w:ascii="Times New Roman" w:hAnsi="Times New Roman" w:cs="Times New Roman"/>
          <w:b w:val="0"/>
          <w:bCs w:val="0"/>
          <w:i/>
          <w:iCs/>
          <w:sz w:val="24"/>
          <w:szCs w:val="24"/>
        </w:rPr>
        <w:fldChar w:fldCharType="separate"/>
      </w:r>
      <w:r>
        <w:rPr>
          <w:rFonts w:ascii="Times New Roman" w:hAnsi="Times New Roman" w:cs="Times New Roman"/>
          <w:noProof/>
          <w:sz w:val="24"/>
          <w:szCs w:val="24"/>
        </w:rPr>
        <w:t>2</w:t>
      </w:r>
      <w:r w:rsidRPr="00AD212C">
        <w:rPr>
          <w:rFonts w:ascii="Times New Roman" w:hAnsi="Times New Roman" w:cs="Times New Roman"/>
          <w:b w:val="0"/>
          <w:bCs w:val="0"/>
          <w:i/>
          <w:iCs/>
          <w:sz w:val="24"/>
          <w:szCs w:val="24"/>
        </w:rPr>
        <w:fldChar w:fldCharType="end"/>
      </w:r>
      <w:r w:rsidRPr="00AD212C">
        <w:rPr>
          <w:rFonts w:ascii="Times New Roman" w:hAnsi="Times New Roman" w:cs="Times New Roman"/>
          <w:sz w:val="24"/>
          <w:szCs w:val="24"/>
        </w:rPr>
        <w:t xml:space="preserve"> </w:t>
      </w:r>
      <w:r>
        <w:rPr>
          <w:rFonts w:ascii="Times New Roman" w:hAnsi="Times New Roman" w:cs="Times New Roman"/>
          <w:sz w:val="24"/>
          <w:szCs w:val="24"/>
        </w:rPr>
        <w:t>Diagram</w:t>
      </w:r>
      <w:r w:rsidRPr="00AD212C">
        <w:rPr>
          <w:rFonts w:ascii="Times New Roman" w:hAnsi="Times New Roman" w:cs="Times New Roman"/>
          <w:sz w:val="24"/>
          <w:szCs w:val="24"/>
        </w:rPr>
        <w:t xml:space="preserve"> </w:t>
      </w:r>
      <w:r w:rsidRPr="0064209F">
        <w:rPr>
          <w:rFonts w:ascii="Times New Roman" w:hAnsi="Times New Roman" w:cs="Times New Roman"/>
          <w:i/>
          <w:iCs/>
          <w:sz w:val="24"/>
          <w:szCs w:val="24"/>
        </w:rPr>
        <w:t>EPS</w:t>
      </w:r>
      <w:r w:rsidRPr="00AD212C">
        <w:rPr>
          <w:rFonts w:ascii="Times New Roman" w:hAnsi="Times New Roman" w:cs="Times New Roman"/>
          <w:sz w:val="24"/>
          <w:szCs w:val="24"/>
        </w:rPr>
        <w:t xml:space="preserve"> Perusahaan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
    <w:p w14:paraId="7E86C21E" w14:textId="77777777" w:rsidR="00D30FD3" w:rsidRPr="006459B5" w:rsidRDefault="00D30FD3" w:rsidP="00D30FD3">
      <w:pPr>
        <w:spacing w:after="0" w:line="240" w:lineRule="auto"/>
      </w:pPr>
    </w:p>
    <w:p w14:paraId="12D1FA01" w14:textId="77777777" w:rsidR="00D30FD3" w:rsidRPr="00AD212C" w:rsidRDefault="00D30FD3" w:rsidP="00D30FD3">
      <w:pPr>
        <w:pStyle w:val="ListParagraph"/>
        <w:spacing w:after="120" w:line="360" w:lineRule="auto"/>
        <w:ind w:left="360" w:firstLine="720"/>
        <w:rPr>
          <w:rFonts w:ascii="Times New Roman" w:hAnsi="Times New Roman" w:cs="Times New Roman"/>
          <w:sz w:val="24"/>
          <w:szCs w:val="24"/>
        </w:rPr>
      </w:pPr>
      <w:r>
        <w:rPr>
          <w:rFonts w:ascii="Times New Roman" w:hAnsi="Times New Roman" w:cs="Times New Roman"/>
          <w:sz w:val="24"/>
          <w:szCs w:val="24"/>
        </w:rPr>
        <w:t>U</w:t>
      </w:r>
      <w:r w:rsidRPr="00AD212C">
        <w:rPr>
          <w:rFonts w:ascii="Times New Roman" w:hAnsi="Times New Roman" w:cs="Times New Roman"/>
          <w:sz w:val="24"/>
          <w:szCs w:val="24"/>
        </w:rPr>
        <w:t xml:space="preserve">ntuk </w:t>
      </w:r>
      <w:proofErr w:type="spellStart"/>
      <w:r w:rsidRPr="00AD212C">
        <w:rPr>
          <w:rFonts w:ascii="Times New Roman" w:hAnsi="Times New Roman" w:cs="Times New Roman"/>
          <w:sz w:val="24"/>
          <w:szCs w:val="24"/>
        </w:rPr>
        <w:t>me</w:t>
      </w:r>
      <w:r>
        <w:rPr>
          <w:rFonts w:ascii="Times New Roman" w:hAnsi="Times New Roman" w:cs="Times New Roman"/>
          <w:sz w:val="24"/>
          <w:szCs w:val="24"/>
        </w:rPr>
        <w:t>nghitung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laba</w:t>
      </w:r>
      <w:proofErr w:type="spellEnd"/>
      <w:r w:rsidRPr="00AD212C">
        <w:rPr>
          <w:rFonts w:ascii="Times New Roman" w:hAnsi="Times New Roman" w:cs="Times New Roman"/>
          <w:sz w:val="24"/>
          <w:szCs w:val="24"/>
        </w:rPr>
        <w:t xml:space="preserve"> per </w:t>
      </w:r>
      <w:proofErr w:type="spellStart"/>
      <w:r w:rsidRPr="00AD212C">
        <w:rPr>
          <w:rFonts w:ascii="Times New Roman" w:hAnsi="Times New Roman" w:cs="Times New Roman"/>
          <w:sz w:val="24"/>
          <w:szCs w:val="24"/>
        </w:rPr>
        <w:t>lembar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beredar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sidRPr="00AD212C">
        <w:rPr>
          <w:rFonts w:ascii="Times New Roman" w:hAnsi="Times New Roman" w:cs="Times New Roman"/>
          <w:i/>
          <w:iCs/>
          <w:sz w:val="24"/>
          <w:szCs w:val="24"/>
        </w:rPr>
        <w:t xml:space="preserve">Earning Per Share </w:t>
      </w:r>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{"citationItems":[{"id":"ITEM-1","itemData":{"DOI":"10.46576/bn.v6i2.3610","ISSN":"2621-3982","abstract":"This study aims to examine and determine the impact of Earnings Per Share (EPS), Price Earnings Ratio (PER), and Debt to Equity Ratio (DER) on stock prices in banking subsector companies listed on the Indonesia Stock Exchange during the period 2017-2021. The research population includes all banks listed on the Indonesia Stock Exchange. Purposive sampling technique was used, and based on predetermined criteria, 10 companies were selected for this study. Data analysis involved descriptive analysis, classical assumption tests, confirmatory analysis (multiple linear regression analysis and coefficient of determination test), and hypothesis testing.The results of this study indicate that Earnings Per Share has a positive partial effect on stock prices, Price Earnings Ratio has a positive partial effect on stock prices, and Debt to Equity Ratio has a negative partial effect on stock prices. Additionally, collectively, Earnings Per Share, Price Earnings Ratio, and Debt to Equity Ratio have an impact on stock prices.","author":[{"dropping-particle":"","family":"Barohin","given":"Faizunnazif","non-dropping-particle":"Al","parse-names":false,"suffix":""},{"dropping-particle":"","family":"Nasution","given":"Raden","non-dropping-particle":"","parse-names":false,"suffix":""}],"container-title":"Bisnis-Net Jurnal Ekonomi dan Bisnis","id":"ITEM-1","issue":"2","issued":{"date-parts":[["2023"]]},"page":"617-630","title":"Pengaruh Eps, Per, Dan Der Terhadap Harga Saham Pada Perusahaan Sub Sektor Bank Periode 2017-2021","type":"article-journal","volume":"6"},"uris":["http://www.mendeley.com/documents/?uuid=b283a0ae-0287-4f47-88cb-85262808c84a"]}],"mendeley":{"formattedCitation":"(Al Barohin &amp; Nasution, 2023)","plainTextFormattedCitation":"(Al Barohin &amp; Nasution, 2023)","previouslyFormattedCitation":"(Al Barohin &amp; Nasution,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(Al Barohin &amp; Nasution,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Nilai </w:t>
      </w:r>
      <w:r w:rsidRPr="00AD212C">
        <w:rPr>
          <w:rFonts w:ascii="Times New Roman" w:hAnsi="Times New Roman" w:cs="Times New Roman"/>
          <w:i/>
          <w:iCs/>
          <w:sz w:val="24"/>
          <w:szCs w:val="24"/>
        </w:rPr>
        <w:t>EPS</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menggambarkan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laba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bersih</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ada</w:t>
      </w:r>
      <w:proofErr w:type="spellEnd"/>
      <w:r w:rsidRPr="00AD212C">
        <w:rPr>
          <w:rFonts w:ascii="Times New Roman" w:hAnsi="Times New Roman" w:cs="Times New Roman"/>
          <w:sz w:val="24"/>
          <w:szCs w:val="24"/>
        </w:rPr>
        <w:t xml:space="preserve"> untuk </w:t>
      </w:r>
      <w:proofErr w:type="spellStart"/>
      <w:r w:rsidRPr="00AD212C">
        <w:rPr>
          <w:rFonts w:ascii="Times New Roman" w:hAnsi="Times New Roman" w:cs="Times New Roman"/>
          <w:sz w:val="24"/>
          <w:szCs w:val="24"/>
        </w:rPr>
        <w:t>dibagikan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kepada</w:t>
      </w:r>
      <w:proofErr w:type="spellEnd"/>
      <w:r w:rsidRPr="00AD212C">
        <w:rPr>
          <w:rFonts w:ascii="Times New Roman" w:hAnsi="Times New Roman" w:cs="Times New Roman"/>
          <w:sz w:val="24"/>
          <w:szCs w:val="24"/>
        </w:rPr>
        <w:t xml:space="preserve"> para </w:t>
      </w:r>
      <w:proofErr w:type="spellStart"/>
      <w:r w:rsidRPr="00AD212C">
        <w:rPr>
          <w:rFonts w:ascii="Times New Roman" w:hAnsi="Times New Roman" w:cs="Times New Roman"/>
          <w:sz w:val="24"/>
          <w:szCs w:val="24"/>
        </w:rPr>
        <w:t>pemilik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bookmarkStart w:id="3" w:name="_Hlk179620663"/>
      <w:r w:rsidRPr="00AD212C">
        <w:rPr>
          <w:rFonts w:ascii="Times New Roman" w:hAnsi="Times New Roman" w:cs="Times New Roman"/>
          <w:sz w:val="24"/>
          <w:szCs w:val="24"/>
        </w:rPr>
        <w:t xml:space="preserve">Data </w:t>
      </w:r>
      <w:proofErr w:type="spellStart"/>
      <w:r w:rsidRPr="00AD212C">
        <w:rPr>
          <w:rFonts w:ascii="Times New Roman" w:hAnsi="Times New Roman" w:cs="Times New Roman"/>
          <w:sz w:val="24"/>
          <w:szCs w:val="24"/>
        </w:rPr>
        <w:t>diatas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menunjukkan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adanya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fluktuasi</w:t>
      </w:r>
      <w:proofErr w:type="spellEnd"/>
      <w:r w:rsidRPr="00AD212C">
        <w:rPr>
          <w:rFonts w:ascii="Times New Roman" w:hAnsi="Times New Roman" w:cs="Times New Roman"/>
          <w:sz w:val="24"/>
          <w:szCs w:val="24"/>
        </w:rPr>
        <w:t xml:space="preserve"> EPS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2019, </w:t>
      </w:r>
      <w:proofErr w:type="spellStart"/>
      <w:r w:rsidRPr="00AD212C">
        <w:rPr>
          <w:rFonts w:ascii="Times New Roman" w:hAnsi="Times New Roman" w:cs="Times New Roman"/>
          <w:sz w:val="24"/>
          <w:szCs w:val="24"/>
        </w:rPr>
        <w:t>nilai</w:t>
      </w:r>
      <w:proofErr w:type="spellEnd"/>
      <w:r w:rsidRPr="00AD212C">
        <w:rPr>
          <w:rFonts w:ascii="Times New Roman" w:hAnsi="Times New Roman" w:cs="Times New Roman"/>
          <w:sz w:val="24"/>
          <w:szCs w:val="24"/>
        </w:rPr>
        <w:t xml:space="preserve"> EPS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-35,94,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2020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-37,02,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2021 </w:t>
      </w:r>
      <w:proofErr w:type="spellStart"/>
      <w:r w:rsidRPr="00AD212C">
        <w:rPr>
          <w:rFonts w:ascii="Times New Roman" w:hAnsi="Times New Roman" w:cs="Times New Roman"/>
          <w:sz w:val="24"/>
          <w:szCs w:val="24"/>
        </w:rPr>
        <w:t>terjadi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peningkatan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cukup</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baik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yaitu</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8,48,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2022 juga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peningkatan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20,02 dan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2023 kembali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Rp -20,09.</w:t>
      </w:r>
      <w:bookmarkEnd w:id="3"/>
    </w:p>
    <w:p w14:paraId="1C70AAA5" w14:textId="77777777" w:rsidR="00D30FD3" w:rsidRPr="0024237D" w:rsidRDefault="00D30FD3" w:rsidP="00D30FD3">
      <w:pPr>
        <w:pStyle w:val="ListParagraph"/>
        <w:keepNext/>
        <w:spacing w:after="0" w:line="360" w:lineRule="auto"/>
        <w:ind w:left="360"/>
        <w:jc w:val="center"/>
        <w:rPr>
          <w:rFonts w:ascii="Times New Roman" w:hAnsi="Times New Roman" w:cs="Times New Roman"/>
        </w:rPr>
      </w:pPr>
      <w:r>
        <w:rPr>
          <w:rFonts w:ascii="Times New Roman" w:hAnsi="Times New Roman" w:cs="Times New Roman"/>
          <w:noProof/>
        </w:rPr>
        <w:lastRenderedPageBreak/>
        <w:drawing>
          <wp:inline distT="0" distB="0" distL="0" distR="0" wp14:anchorId="0345C359" wp14:editId="2663D160">
            <wp:extent cx="4206240" cy="2286000"/>
            <wp:effectExtent l="0" t="0" r="3810" b="0"/>
            <wp:docPr id="7084406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F2AD9" w14:textId="77777777" w:rsidR="00D30FD3" w:rsidRDefault="00D30FD3" w:rsidP="00D30FD3">
      <w:pPr>
        <w:pStyle w:val="Caption"/>
        <w:spacing w:after="20" w:line="240" w:lineRule="auto"/>
        <w:ind w:left="360"/>
        <w:jc w:val="center"/>
        <w:rPr>
          <w:rFonts w:ascii="Times New Roman" w:hAnsi="Times New Roman" w:cs="Times New Roman"/>
          <w:sz w:val="24"/>
          <w:szCs w:val="24"/>
        </w:rPr>
      </w:pPr>
      <w:r w:rsidRPr="00AD212C">
        <w:rPr>
          <w:rFonts w:ascii="Times New Roman" w:hAnsi="Times New Roman" w:cs="Times New Roman"/>
          <w:sz w:val="24"/>
          <w:szCs w:val="24"/>
        </w:rPr>
        <w:t>Gambar 1.</w:t>
      </w:r>
      <w:r w:rsidRPr="00AD212C">
        <w:rPr>
          <w:rFonts w:ascii="Times New Roman" w:hAnsi="Times New Roman" w:cs="Times New Roman"/>
          <w:b w:val="0"/>
          <w:bCs w:val="0"/>
          <w:i/>
          <w:iCs/>
          <w:sz w:val="24"/>
          <w:szCs w:val="24"/>
        </w:rPr>
        <w:fldChar w:fldCharType="begin"/>
      </w:r>
      <w:r w:rsidRPr="00AD212C">
        <w:rPr>
          <w:rFonts w:ascii="Times New Roman" w:hAnsi="Times New Roman" w:cs="Times New Roman"/>
          <w:sz w:val="24"/>
          <w:szCs w:val="24"/>
        </w:rPr>
        <w:instrText xml:space="preserve"> SEQ Gambar_1 \* ARABIC </w:instrText>
      </w:r>
      <w:r w:rsidRPr="00AD212C">
        <w:rPr>
          <w:rFonts w:ascii="Times New Roman" w:hAnsi="Times New Roman" w:cs="Times New Roman"/>
          <w:b w:val="0"/>
          <w:bCs w:val="0"/>
          <w:i/>
          <w:iCs/>
          <w:sz w:val="24"/>
          <w:szCs w:val="24"/>
        </w:rPr>
        <w:fldChar w:fldCharType="separate"/>
      </w:r>
      <w:r>
        <w:rPr>
          <w:rFonts w:ascii="Times New Roman" w:hAnsi="Times New Roman" w:cs="Times New Roman"/>
          <w:noProof/>
          <w:sz w:val="24"/>
          <w:szCs w:val="24"/>
        </w:rPr>
        <w:t>3</w:t>
      </w:r>
      <w:r w:rsidRPr="00AD212C">
        <w:rPr>
          <w:rFonts w:ascii="Times New Roman" w:hAnsi="Times New Roman" w:cs="Times New Roman"/>
          <w:b w:val="0"/>
          <w:bCs w:val="0"/>
          <w:i/>
          <w:iCs/>
          <w:sz w:val="24"/>
          <w:szCs w:val="24"/>
        </w:rPr>
        <w:fldChar w:fldCharType="end"/>
      </w:r>
      <w:r w:rsidRPr="00AD212C">
        <w:rPr>
          <w:rFonts w:ascii="Times New Roman" w:hAnsi="Times New Roman" w:cs="Times New Roman"/>
          <w:sz w:val="24"/>
          <w:szCs w:val="24"/>
        </w:rPr>
        <w:t xml:space="preserve"> </w:t>
      </w:r>
      <w:r>
        <w:rPr>
          <w:rFonts w:ascii="Times New Roman" w:hAnsi="Times New Roman" w:cs="Times New Roman"/>
          <w:sz w:val="24"/>
          <w:szCs w:val="24"/>
        </w:rPr>
        <w:t>Diagram</w:t>
      </w:r>
      <w:r w:rsidRPr="00AD212C">
        <w:rPr>
          <w:rFonts w:ascii="Times New Roman" w:hAnsi="Times New Roman" w:cs="Times New Roman"/>
          <w:sz w:val="24"/>
          <w:szCs w:val="24"/>
        </w:rPr>
        <w:t xml:space="preserve"> </w:t>
      </w:r>
      <w:r w:rsidRPr="0064209F">
        <w:rPr>
          <w:rFonts w:ascii="Times New Roman" w:hAnsi="Times New Roman" w:cs="Times New Roman"/>
          <w:i/>
          <w:iCs/>
          <w:sz w:val="24"/>
          <w:szCs w:val="24"/>
        </w:rPr>
        <w:t>CR</w:t>
      </w:r>
      <w:r w:rsidRPr="00AD212C">
        <w:rPr>
          <w:rFonts w:ascii="Times New Roman" w:hAnsi="Times New Roman" w:cs="Times New Roman"/>
          <w:sz w:val="24"/>
          <w:szCs w:val="24"/>
        </w:rPr>
        <w:t xml:space="preserve"> Perusahaan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
    <w:p w14:paraId="5D2B956E" w14:textId="77777777" w:rsidR="00D30FD3" w:rsidRPr="00AB278C" w:rsidRDefault="00D30FD3" w:rsidP="00D30FD3">
      <w:pPr>
        <w:spacing w:after="0" w:line="240" w:lineRule="auto"/>
      </w:pPr>
    </w:p>
    <w:p w14:paraId="6C108B8D" w14:textId="77777777" w:rsidR="00D30FD3" w:rsidRDefault="00D30FD3" w:rsidP="00D30FD3">
      <w:pPr>
        <w:pStyle w:val="ListParagraph"/>
        <w:spacing w:line="360" w:lineRule="auto"/>
        <w:ind w:left="360" w:firstLine="720"/>
        <w:rPr>
          <w:rFonts w:ascii="Times New Roman" w:hAnsi="Times New Roman" w:cs="Times New Roman"/>
          <w:sz w:val="24"/>
          <w:szCs w:val="24"/>
        </w:rPr>
      </w:pPr>
      <w:r w:rsidRPr="00AD212C">
        <w:rPr>
          <w:rFonts w:ascii="Times New Roman" w:hAnsi="Times New Roman" w:cs="Times New Roman"/>
          <w:i/>
          <w:iCs/>
          <w:sz w:val="24"/>
          <w:szCs w:val="24"/>
        </w:rPr>
        <w:t>Current Ratio (CR)</w:t>
      </w:r>
      <w:r>
        <w:rPr>
          <w:rFonts w:ascii="Times New Roman" w:hAnsi="Times New Roman" w:cs="Times New Roman"/>
          <w:i/>
          <w:iCs/>
          <w:sz w:val="24"/>
          <w:szCs w:val="24"/>
        </w:rPr>
        <w:t>,</w:t>
      </w:r>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AD212C">
        <w:rPr>
          <w:rFonts w:ascii="Times New Roman" w:hAnsi="Times New Roman" w:cs="Times New Roman"/>
          <w:sz w:val="24"/>
          <w:szCs w:val="24"/>
        </w:rPr>
        <w:t xml:space="preserve"> </w:t>
      </w:r>
      <w:proofErr w:type="spellStart"/>
      <w:r w:rsidRPr="0064209F">
        <w:rPr>
          <w:rFonts w:ascii="Times New Roman" w:hAnsi="Times New Roman" w:cs="Times New Roman"/>
          <w:sz w:val="24"/>
          <w:szCs w:val="24"/>
        </w:rPr>
        <w:t>rasio</w:t>
      </w:r>
      <w:proofErr w:type="spellEnd"/>
      <w:r w:rsidRPr="0064209F">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sidRPr="0064209F">
        <w:rPr>
          <w:rFonts w:ascii="Times New Roman" w:hAnsi="Times New Roman" w:cs="Times New Roman"/>
          <w:sz w:val="24"/>
          <w:szCs w:val="24"/>
        </w:rPr>
        <w:t xml:space="preserve"> </w:t>
      </w:r>
      <w:proofErr w:type="spellStart"/>
      <w:r w:rsidRPr="0064209F">
        <w:rPr>
          <w:rFonts w:ascii="Times New Roman" w:hAnsi="Times New Roman" w:cs="Times New Roman"/>
          <w:sz w:val="24"/>
          <w:szCs w:val="24"/>
        </w:rPr>
        <w:t>mengevaluasi</w:t>
      </w:r>
      <w:proofErr w:type="spellEnd"/>
      <w:r w:rsidRPr="0064209F">
        <w:rPr>
          <w:rFonts w:ascii="Times New Roman" w:hAnsi="Times New Roman" w:cs="Times New Roman"/>
          <w:sz w:val="24"/>
          <w:szCs w:val="24"/>
        </w:rPr>
        <w:t xml:space="preserve"> </w:t>
      </w:r>
      <w:proofErr w:type="spellStart"/>
      <w:r>
        <w:rPr>
          <w:rFonts w:ascii="Times New Roman" w:hAnsi="Times New Roman" w:cs="Times New Roman"/>
          <w:sz w:val="24"/>
          <w:szCs w:val="24"/>
        </w:rPr>
        <w:t>kesanggupan</w:t>
      </w:r>
      <w:proofErr w:type="spellEnd"/>
      <w:r w:rsidRPr="0064209F">
        <w:rPr>
          <w:rFonts w:ascii="Times New Roman" w:hAnsi="Times New Roman" w:cs="Times New Roman"/>
          <w:sz w:val="24"/>
          <w:szCs w:val="24"/>
        </w:rPr>
        <w:t xml:space="preserve"> </w:t>
      </w:r>
      <w:proofErr w:type="spellStart"/>
      <w:r w:rsidRPr="0064209F">
        <w:rPr>
          <w:rFonts w:ascii="Times New Roman" w:hAnsi="Times New Roman" w:cs="Times New Roman"/>
          <w:sz w:val="24"/>
          <w:szCs w:val="24"/>
        </w:rPr>
        <w:t>perusahaan</w:t>
      </w:r>
      <w:proofErr w:type="spellEnd"/>
      <w:r w:rsidRPr="0064209F">
        <w:rPr>
          <w:rFonts w:ascii="Times New Roman" w:hAnsi="Times New Roman" w:cs="Times New Roman"/>
          <w:sz w:val="24"/>
          <w:szCs w:val="24"/>
        </w:rPr>
        <w:t xml:space="preserve"> untuk </w:t>
      </w:r>
      <w:proofErr w:type="spellStart"/>
      <w:r w:rsidRPr="0064209F">
        <w:rPr>
          <w:rFonts w:ascii="Times New Roman" w:hAnsi="Times New Roman" w:cs="Times New Roman"/>
          <w:sz w:val="24"/>
          <w:szCs w:val="24"/>
        </w:rPr>
        <w:t>menyelesaikan</w:t>
      </w:r>
      <w:proofErr w:type="spellEnd"/>
      <w:r w:rsidRPr="0064209F">
        <w:rPr>
          <w:rFonts w:ascii="Times New Roman" w:hAnsi="Times New Roman" w:cs="Times New Roman"/>
          <w:sz w:val="24"/>
          <w:szCs w:val="24"/>
        </w:rPr>
        <w:t xml:space="preserve"> utang</w:t>
      </w:r>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sidRPr="0064209F">
        <w:rPr>
          <w:rFonts w:ascii="Times New Roman" w:hAnsi="Times New Roman" w:cs="Times New Roman"/>
          <w:sz w:val="24"/>
          <w:szCs w:val="24"/>
        </w:rPr>
        <w:t xml:space="preserve"> dengan </w:t>
      </w:r>
      <w:proofErr w:type="spellStart"/>
      <w:r w:rsidRPr="0064209F">
        <w:rPr>
          <w:rFonts w:ascii="Times New Roman" w:hAnsi="Times New Roman" w:cs="Times New Roman"/>
          <w:sz w:val="24"/>
          <w:szCs w:val="24"/>
        </w:rPr>
        <w:t>aset</w:t>
      </w:r>
      <w:proofErr w:type="spellEnd"/>
      <w:r w:rsidRPr="0064209F">
        <w:rPr>
          <w:rFonts w:ascii="Times New Roman" w:hAnsi="Times New Roman" w:cs="Times New Roman"/>
          <w:sz w:val="24"/>
          <w:szCs w:val="24"/>
        </w:rPr>
        <w:t xml:space="preserve"> </w:t>
      </w:r>
      <w:proofErr w:type="spellStart"/>
      <w:r w:rsidRPr="0064209F">
        <w:rPr>
          <w:rFonts w:ascii="Times New Roman" w:hAnsi="Times New Roman" w:cs="Times New Roman"/>
          <w:sz w:val="24"/>
          <w:szCs w:val="24"/>
        </w:rPr>
        <w:t>lancarnya</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{"citationItems":[{"id":"ITEM-1","itemData":{"abstract":"Tujuan dari penelitian ini adalah untuk menentukan apakah current ratio, return on equity, profit per share, dan price-earning ratio berpengaruh secara parsial atau simultan terhadap harga saham. Subyek penelitian ini adalah perusahaan sub sektor makanan dan minuman dengan jumlah sampel sebanyak 11 orang dengan menggunakan teknik sampling bertarget berdasarkan kriteria tertentu. Metode yang digunakan dalam penelitian ini menggunakan metode kuantitatif. Teknik analisis yang digunakan dalam penelitian ini juga menggunakan uji hipotesis klasik, uji regresi berganda, uji kepastian, dan uji hipotesis. Berdasarkan penelitian yang dilakukan, penulis menyimpulkan bahwa current ratio tidak mempengaruhi harga saham, ROE mempengaruhi harga saham, EPS berpengaruh terhadap harga saham, dan price-earning ratio berpengaruh terhadap harga saham. Pada saat yang sama, rasio lancar, laba atas ekuitas, laba per saham, dan rasio harga-pendapatan semuanya mempengaruhi harga saham.","author":[{"dropping-particle":"","family":"Putri","given":"Gabrella Eka","non-dropping-particle":"","parse-names":false,"suffix":""}],"container-title":"Global Accounting: Jurnal Akuntansi","id":"ITEM-1","issue":"1","issued":{"date-parts":[["2023"]]},"page":"1-13","title":"Pengaruh Current Ratio (CR), Return On Equity (ROE), Earning Per Share (EPS), dan Price Earning Ratio (PER) terhadap Harga Saham Pada Perusahaan Subsektor Food And Beverages Yang Terdaftar di Bursa Efek Indonesia Periode 2016-2020","type":"article-journal","volume":"2"},"uris":["http://www.mendeley.com/documents/?uuid=d12217f1-cbcb-4630-b737-4437274d3f7f"]}],"mendeley":{"formattedCitation":"(Putri, 2023)","plainTextFormattedCitation":"(Putri, 2023)","previouslyFormattedCitation":"(Putri,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(Putri,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bookmarkStart w:id="4" w:name="_Hlk179620715"/>
      <w:proofErr w:type="spellStart"/>
      <w:r w:rsidRPr="00AD212C">
        <w:rPr>
          <w:rFonts w:ascii="Times New Roman" w:hAnsi="Times New Roman" w:cs="Times New Roman"/>
          <w:sz w:val="24"/>
          <w:szCs w:val="24"/>
        </w:rPr>
        <w:t>Berdasarkan</w:t>
      </w:r>
      <w:proofErr w:type="spellEnd"/>
      <w:r w:rsidRPr="00AD212C">
        <w:rPr>
          <w:rFonts w:ascii="Times New Roman" w:hAnsi="Times New Roman" w:cs="Times New Roman"/>
          <w:sz w:val="24"/>
          <w:szCs w:val="24"/>
        </w:rPr>
        <w:t xml:space="preserve"> data </w:t>
      </w:r>
      <w:proofErr w:type="spellStart"/>
      <w:r w:rsidRPr="00AD212C">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Pr="00AD212C">
        <w:rPr>
          <w:rFonts w:ascii="Times New Roman" w:hAnsi="Times New Roman" w:cs="Times New Roman"/>
          <w:i/>
          <w:iCs/>
          <w:sz w:val="24"/>
          <w:szCs w:val="24"/>
        </w:rPr>
        <w:t>CR</w:t>
      </w:r>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naik </w:t>
      </w:r>
      <w:proofErr w:type="spellStart"/>
      <w:r w:rsidRPr="00AD212C">
        <w:rPr>
          <w:rFonts w:ascii="Times New Roman" w:hAnsi="Times New Roman" w:cs="Times New Roman"/>
          <w:sz w:val="24"/>
          <w:szCs w:val="24"/>
        </w:rPr>
        <w:t>turun</w:t>
      </w:r>
      <w:proofErr w:type="spellEnd"/>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 </w:t>
      </w:r>
      <w:proofErr w:type="spellStart"/>
      <w:r w:rsidRPr="00AD212C">
        <w:rPr>
          <w:rFonts w:ascii="Times New Roman" w:hAnsi="Times New Roman" w:cs="Times New Roman"/>
          <w:sz w:val="24"/>
          <w:szCs w:val="24"/>
        </w:rPr>
        <w:t>nilai</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CR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nya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1,72 kali,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2020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1,63 kali,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2021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kenaikan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1,73 kali,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2022 kembali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1,68 kali dan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2023 </w:t>
      </w:r>
      <w:proofErr w:type="spellStart"/>
      <w:r w:rsidRPr="00AD212C">
        <w:rPr>
          <w:rFonts w:ascii="Times New Roman" w:hAnsi="Times New Roman" w:cs="Times New Roman"/>
          <w:sz w:val="24"/>
          <w:szCs w:val="24"/>
        </w:rPr>
        <w:t>semakin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turun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1,55 kali.</w:t>
      </w:r>
      <w:bookmarkEnd w:id="4"/>
    </w:p>
    <w:p w14:paraId="51C6A452" w14:textId="77777777" w:rsidR="00D30FD3" w:rsidRPr="00AD212C" w:rsidRDefault="00D30FD3" w:rsidP="00D30FD3">
      <w:pPr>
        <w:pStyle w:val="ListParagraph"/>
        <w:spacing w:after="0" w:line="240" w:lineRule="auto"/>
        <w:ind w:left="360" w:firstLine="720"/>
        <w:rPr>
          <w:rFonts w:ascii="Times New Roman" w:hAnsi="Times New Roman" w:cs="Times New Roman"/>
          <w:sz w:val="24"/>
          <w:szCs w:val="24"/>
        </w:rPr>
      </w:pPr>
    </w:p>
    <w:p w14:paraId="4C9AC09E" w14:textId="77777777" w:rsidR="00D30FD3" w:rsidRPr="0024237D" w:rsidRDefault="00D30FD3" w:rsidP="00D30FD3">
      <w:pPr>
        <w:pStyle w:val="ListParagraph"/>
        <w:keepNext/>
        <w:spacing w:after="120" w:line="360" w:lineRule="auto"/>
        <w:ind w:left="360"/>
        <w:jc w:val="center"/>
        <w:rPr>
          <w:rFonts w:ascii="Times New Roman" w:hAnsi="Times New Roman" w:cs="Times New Roman"/>
        </w:rPr>
      </w:pPr>
      <w:r>
        <w:rPr>
          <w:rFonts w:ascii="Times New Roman" w:hAnsi="Times New Roman" w:cs="Times New Roman"/>
          <w:noProof/>
        </w:rPr>
        <w:drawing>
          <wp:inline distT="0" distB="0" distL="0" distR="0" wp14:anchorId="5E641183" wp14:editId="4000C3EE">
            <wp:extent cx="4206240" cy="2286000"/>
            <wp:effectExtent l="0" t="0" r="3810" b="0"/>
            <wp:docPr id="213283785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DC5DA4" w14:textId="77777777" w:rsidR="00D30FD3" w:rsidRDefault="00D30FD3" w:rsidP="00D30FD3">
      <w:pPr>
        <w:pStyle w:val="Caption"/>
        <w:spacing w:after="20" w:line="240" w:lineRule="auto"/>
        <w:ind w:left="360"/>
        <w:jc w:val="center"/>
        <w:rPr>
          <w:rFonts w:ascii="Times New Roman" w:hAnsi="Times New Roman" w:cs="Times New Roman"/>
          <w:sz w:val="24"/>
          <w:szCs w:val="24"/>
        </w:rPr>
      </w:pPr>
      <w:r w:rsidRPr="0024237D">
        <w:rPr>
          <w:rFonts w:ascii="Times New Roman" w:hAnsi="Times New Roman" w:cs="Times New Roman"/>
          <w:sz w:val="24"/>
          <w:szCs w:val="24"/>
        </w:rPr>
        <w:t>Gambar 1.</w:t>
      </w:r>
      <w:r w:rsidRPr="0024237D">
        <w:rPr>
          <w:rFonts w:ascii="Times New Roman" w:hAnsi="Times New Roman" w:cs="Times New Roman"/>
          <w:b w:val="0"/>
          <w:bCs w:val="0"/>
          <w:i/>
          <w:iCs/>
          <w:sz w:val="24"/>
          <w:szCs w:val="24"/>
        </w:rPr>
        <w:fldChar w:fldCharType="begin"/>
      </w:r>
      <w:r w:rsidRPr="0024237D">
        <w:rPr>
          <w:rFonts w:ascii="Times New Roman" w:hAnsi="Times New Roman" w:cs="Times New Roman"/>
          <w:sz w:val="24"/>
          <w:szCs w:val="24"/>
        </w:rPr>
        <w:instrText xml:space="preserve"> SEQ Gambar_1 \* ARABIC </w:instrText>
      </w:r>
      <w:r w:rsidRPr="0024237D">
        <w:rPr>
          <w:rFonts w:ascii="Times New Roman" w:hAnsi="Times New Roman" w:cs="Times New Roman"/>
          <w:b w:val="0"/>
          <w:bCs w:val="0"/>
          <w:i/>
          <w:iCs/>
          <w:sz w:val="24"/>
          <w:szCs w:val="24"/>
        </w:rPr>
        <w:fldChar w:fldCharType="separate"/>
      </w:r>
      <w:r>
        <w:rPr>
          <w:rFonts w:ascii="Times New Roman" w:hAnsi="Times New Roman" w:cs="Times New Roman"/>
          <w:noProof/>
          <w:sz w:val="24"/>
          <w:szCs w:val="24"/>
        </w:rPr>
        <w:t>4</w:t>
      </w:r>
      <w:r w:rsidRPr="0024237D">
        <w:rPr>
          <w:rFonts w:ascii="Times New Roman" w:hAnsi="Times New Roman" w:cs="Times New Roman"/>
          <w:b w:val="0"/>
          <w:bCs w:val="0"/>
          <w:i/>
          <w:iCs/>
          <w:sz w:val="24"/>
          <w:szCs w:val="24"/>
        </w:rPr>
        <w:fldChar w:fldCharType="end"/>
      </w:r>
      <w:r w:rsidRPr="0024237D">
        <w:rPr>
          <w:rFonts w:ascii="Times New Roman" w:hAnsi="Times New Roman" w:cs="Times New Roman"/>
          <w:sz w:val="24"/>
          <w:szCs w:val="24"/>
        </w:rPr>
        <w:t xml:space="preserve"> </w:t>
      </w:r>
      <w:r>
        <w:rPr>
          <w:rFonts w:ascii="Times New Roman" w:hAnsi="Times New Roman" w:cs="Times New Roman"/>
          <w:sz w:val="24"/>
          <w:szCs w:val="24"/>
        </w:rPr>
        <w:t>Diagram</w:t>
      </w:r>
      <w:r w:rsidRPr="0024237D">
        <w:rPr>
          <w:rFonts w:ascii="Times New Roman" w:hAnsi="Times New Roman" w:cs="Times New Roman"/>
          <w:sz w:val="24"/>
          <w:szCs w:val="24"/>
        </w:rPr>
        <w:t xml:space="preserve"> </w:t>
      </w:r>
      <w:r w:rsidRPr="0064209F">
        <w:rPr>
          <w:rFonts w:ascii="Times New Roman" w:hAnsi="Times New Roman" w:cs="Times New Roman"/>
          <w:i/>
          <w:iCs/>
          <w:sz w:val="24"/>
          <w:szCs w:val="24"/>
        </w:rPr>
        <w:t>DER</w:t>
      </w:r>
      <w:r w:rsidRPr="0024237D">
        <w:rPr>
          <w:rFonts w:ascii="Times New Roman" w:hAnsi="Times New Roman" w:cs="Times New Roman"/>
          <w:sz w:val="24"/>
          <w:szCs w:val="24"/>
        </w:rPr>
        <w:t xml:space="preserve"> Perusahaan Sub Sektor </w:t>
      </w:r>
      <w:proofErr w:type="spellStart"/>
      <w:r w:rsidRPr="0024237D">
        <w:rPr>
          <w:rFonts w:ascii="Times New Roman" w:hAnsi="Times New Roman" w:cs="Times New Roman"/>
          <w:sz w:val="24"/>
          <w:szCs w:val="24"/>
        </w:rPr>
        <w:t>Konstruksi</w:t>
      </w:r>
      <w:proofErr w:type="spellEnd"/>
    </w:p>
    <w:p w14:paraId="0C013A2B" w14:textId="77777777" w:rsidR="00D30FD3" w:rsidRPr="006459B5" w:rsidRDefault="00D30FD3" w:rsidP="00D30FD3">
      <w:pPr>
        <w:spacing w:after="0" w:line="240" w:lineRule="auto"/>
      </w:pPr>
    </w:p>
    <w:p w14:paraId="26213214" w14:textId="77777777" w:rsidR="00D30FD3" w:rsidRPr="00AD212C" w:rsidRDefault="00D30FD3" w:rsidP="00D30FD3">
      <w:pPr>
        <w:pStyle w:val="ListParagraph"/>
        <w:spacing w:line="360" w:lineRule="auto"/>
        <w:ind w:left="450" w:firstLine="630"/>
        <w:rPr>
          <w:rFonts w:ascii="Times New Roman" w:hAnsi="Times New Roman" w:cs="Times New Roman"/>
          <w:sz w:val="24"/>
          <w:szCs w:val="24"/>
        </w:rPr>
      </w:pPr>
      <w:r w:rsidRPr="00AD212C">
        <w:rPr>
          <w:rFonts w:ascii="Times New Roman" w:hAnsi="Times New Roman" w:cs="Times New Roman"/>
          <w:i/>
          <w:iCs/>
          <w:sz w:val="24"/>
          <w:szCs w:val="24"/>
        </w:rPr>
        <w:lastRenderedPageBreak/>
        <w:t>Debt to Equity Ratio (DER)</w:t>
      </w:r>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rasiio</w:t>
      </w:r>
      <w:proofErr w:type="spellEnd"/>
      <w:r w:rsidRPr="0054551A">
        <w:rPr>
          <w:rFonts w:ascii="Times New Roman" w:hAnsi="Times New Roman" w:cs="Times New Roman"/>
          <w:sz w:val="24"/>
          <w:szCs w:val="24"/>
        </w:rPr>
        <w:t xml:space="preserve"> </w:t>
      </w:r>
      <w:r>
        <w:rPr>
          <w:rFonts w:ascii="Times New Roman" w:hAnsi="Times New Roman" w:cs="Times New Roman"/>
          <w:sz w:val="24"/>
          <w:szCs w:val="24"/>
        </w:rPr>
        <w:t xml:space="preserve">yg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untuk</w:t>
      </w:r>
      <w:r w:rsidRPr="0054551A">
        <w:rPr>
          <w:rFonts w:ascii="Times New Roman" w:hAnsi="Times New Roman" w:cs="Times New Roman"/>
          <w:sz w:val="24"/>
          <w:szCs w:val="24"/>
        </w:rPr>
        <w:t xml:space="preserve"> </w:t>
      </w:r>
      <w:proofErr w:type="spellStart"/>
      <w:r>
        <w:rPr>
          <w:rFonts w:ascii="Times New Roman" w:hAnsi="Times New Roman" w:cs="Times New Roman"/>
          <w:sz w:val="24"/>
          <w:szCs w:val="24"/>
        </w:rPr>
        <w:t>mengevaluassi</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kapasitas</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perusahaan</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melunasi</w:t>
      </w:r>
      <w:proofErr w:type="spellEnd"/>
      <w:r w:rsidRPr="0054551A">
        <w:rPr>
          <w:rFonts w:ascii="Times New Roman" w:hAnsi="Times New Roman" w:cs="Times New Roman"/>
          <w:sz w:val="24"/>
          <w:szCs w:val="24"/>
        </w:rPr>
        <w:t xml:space="preserve"> utang dengan </w:t>
      </w:r>
      <w:proofErr w:type="spellStart"/>
      <w:r w:rsidRPr="0054551A">
        <w:rPr>
          <w:rFonts w:ascii="Times New Roman" w:hAnsi="Times New Roman" w:cs="Times New Roman"/>
          <w:sz w:val="24"/>
          <w:szCs w:val="24"/>
        </w:rPr>
        <w:t>saham</w:t>
      </w:r>
      <w:proofErr w:type="spellEnd"/>
      <w:r w:rsidRPr="0054551A">
        <w:rPr>
          <w:rFonts w:ascii="Times New Roman" w:hAnsi="Times New Roman" w:cs="Times New Roman"/>
          <w:sz w:val="24"/>
          <w:szCs w:val="24"/>
        </w:rPr>
        <w:t xml:space="preserve"> atau modal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itu </w:t>
      </w:r>
      <w:r w:rsidRPr="0054551A">
        <w:rPr>
          <w:rFonts w:ascii="Times New Roman" w:hAnsi="Times New Roman" w:cs="Times New Roman"/>
          <w:sz w:val="24"/>
          <w:szCs w:val="24"/>
        </w:rPr>
        <w:t>sendiri.</w:t>
      </w:r>
      <w:r>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Rasio</w:t>
      </w:r>
      <w:proofErr w:type="spellEnd"/>
      <w:r w:rsidRPr="0054551A">
        <w:rPr>
          <w:rFonts w:ascii="Times New Roman" w:hAnsi="Times New Roman" w:cs="Times New Roman"/>
          <w:sz w:val="24"/>
          <w:szCs w:val="24"/>
        </w:rPr>
        <w:t xml:space="preserve"> ini </w:t>
      </w:r>
      <w:r>
        <w:rPr>
          <w:rFonts w:ascii="Times New Roman" w:hAnsi="Times New Roman" w:cs="Times New Roman"/>
          <w:sz w:val="24"/>
          <w:szCs w:val="24"/>
        </w:rPr>
        <w:t xml:space="preserve">juga bisa </w:t>
      </w:r>
      <w:proofErr w:type="spellStart"/>
      <w:r>
        <w:rPr>
          <w:rFonts w:ascii="Times New Roman" w:hAnsi="Times New Roman" w:cs="Times New Roman"/>
          <w:sz w:val="24"/>
          <w:szCs w:val="24"/>
        </w:rPr>
        <w:t>dipakai</w:t>
      </w:r>
      <w:proofErr w:type="spellEnd"/>
      <w:r w:rsidRPr="0054551A">
        <w:rPr>
          <w:rFonts w:ascii="Times New Roman" w:hAnsi="Times New Roman" w:cs="Times New Roman"/>
          <w:sz w:val="24"/>
          <w:szCs w:val="24"/>
        </w:rPr>
        <w:t xml:space="preserve"> untuk </w:t>
      </w:r>
      <w:proofErr w:type="spellStart"/>
      <w:r w:rsidRPr="0054551A">
        <w:rPr>
          <w:rFonts w:ascii="Times New Roman" w:hAnsi="Times New Roman" w:cs="Times New Roman"/>
          <w:sz w:val="24"/>
          <w:szCs w:val="24"/>
        </w:rPr>
        <w:t>menunjukkan</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potensi</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keuntungan</w:t>
      </w:r>
      <w:proofErr w:type="spellEnd"/>
      <w:r w:rsidRPr="0054551A">
        <w:rPr>
          <w:rFonts w:ascii="Times New Roman" w:hAnsi="Times New Roman" w:cs="Times New Roman"/>
          <w:sz w:val="24"/>
          <w:szCs w:val="24"/>
        </w:rPr>
        <w:t xml:space="preserve"> dan </w:t>
      </w:r>
      <w:proofErr w:type="spellStart"/>
      <w:r w:rsidRPr="0054551A">
        <w:rPr>
          <w:rFonts w:ascii="Times New Roman" w:hAnsi="Times New Roman" w:cs="Times New Roman"/>
          <w:sz w:val="24"/>
          <w:szCs w:val="24"/>
        </w:rPr>
        <w:t>kerugian</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dari</w:t>
      </w:r>
      <w:proofErr w:type="spellEnd"/>
      <w:r w:rsidRPr="0054551A">
        <w:rPr>
          <w:rFonts w:ascii="Times New Roman" w:hAnsi="Times New Roman" w:cs="Times New Roman"/>
          <w:sz w:val="24"/>
          <w:szCs w:val="24"/>
        </w:rPr>
        <w:t xml:space="preserve"> </w:t>
      </w:r>
      <w:proofErr w:type="spellStart"/>
      <w:r w:rsidRPr="0054551A">
        <w:rPr>
          <w:rFonts w:ascii="Times New Roman" w:hAnsi="Times New Roman" w:cs="Times New Roman"/>
          <w:sz w:val="24"/>
          <w:szCs w:val="24"/>
        </w:rPr>
        <w:t>penggunaan</w:t>
      </w:r>
      <w:proofErr w:type="spellEnd"/>
      <w:r w:rsidRPr="0054551A">
        <w:rPr>
          <w:rFonts w:ascii="Times New Roman" w:hAnsi="Times New Roman" w:cs="Times New Roman"/>
          <w:sz w:val="24"/>
          <w:szCs w:val="24"/>
        </w:rPr>
        <w:t xml:space="preserve"> utang</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Estiasih</w:t>
      </w:r>
      <w:proofErr w:type="spellEnd"/>
      <w:r w:rsidRPr="00AD212C">
        <w:rPr>
          <w:rFonts w:ascii="Times New Roman" w:hAnsi="Times New Roman" w:cs="Times New Roman"/>
          <w:sz w:val="24"/>
          <w:szCs w:val="24"/>
        </w:rPr>
        <w:t xml:space="preserve"> et al., dalam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{"citationItems":[{"id":"ITEM-1","itemData":{"DOI":"10.33395/owner.v7i1.1268","ISSN":"2548-7507","abstract":"This study is a quantitative study that aims to determine the effect of return on equity (ROE), earning per share (EPS) and debt to equity ratio (DER) on stock prices. The stock price is measured using the natural logarithm of the closing price. The population in this study are procesed food industry companies listed on the Indonesia Stock Exchange in 2018 – 2020. The sampling technique used is purposive sampling. The sample in this study amounted to 51 samples of 17 companies multiplied by accessing the company’s financial statement through the website of the Indonesia Stock Exchange (IDX). The data analysis technique used in this study is multiple linear regression analysis with the help of SPSS version 25 program. The result of this study indicate that simultaneously return on equity, earning per share and debt to equity ratio have an effect on stock prices. Partially, the return on equity has an effect on stock price. Earning per share and debt to equity ratio partially have no effect on stock prices.\r  \r Keywords: Return On Equity, Earning Per Share, Debt To Equity Ratio, Stock Price","author":[{"dropping-particle":"","family":"Andriani","given":"Sri Devi","non-dropping-particle":"","parse-names":false,"suffix":""},{"dropping-particle":"","family":"Kusumastuti","given":"Ratih","non-dropping-particle":"","parse-names":false,"suffix":""},{"dropping-particle":"","family":"Hernando","given":"Riski","non-dropping-particle":"","parse-names":false,"suffix":""}],"container-title":"Owner","id":"ITEM-1","issue":"1","issued":{"date-parts":[["2022"]]},"page":"333-345","title":"Pengaruh Return On Equity (ROE), Earning Per Share (EPS) dan Debt To Equity Ratio (DER) Terhadap Harga Saham (Studi Empiris Pada Perusahaan Industri Makanan Olahan yang Terdaftar di Bursa Efek Indonesia Tahun 2018 – 2020)","type":"article-journal","volume":"7"},"uris":["http://www.mendeley.com/documents/?uuid=503483f5-74ac-4097-aeef-042802b48cf7"]}],"mendeley":{"formattedCitation":"(Andriani et al., 2022)","manualFormatting":"Andriani et al., 2022)","plainTextFormattedCitation":"(Andriani et al., 2022)","previouslyFormattedCitation":"(Andriani et al., 2022)"},"properties":{"noteIndex":0},"schema":"https://github.com/citation-style-language/schema/raw/master/csl-citation.json"}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Andriani et al., 2022)</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bookmarkStart w:id="5" w:name="_Hlk179620780"/>
      <w:proofErr w:type="spellStart"/>
      <w:r w:rsidRPr="00AD212C">
        <w:rPr>
          <w:rFonts w:ascii="Times New Roman" w:hAnsi="Times New Roman" w:cs="Times New Roman"/>
          <w:sz w:val="24"/>
          <w:szCs w:val="24"/>
        </w:rPr>
        <w:t>Berdasarkan</w:t>
      </w:r>
      <w:proofErr w:type="spellEnd"/>
      <w:r w:rsidRPr="00AD212C">
        <w:rPr>
          <w:rFonts w:ascii="Times New Roman" w:hAnsi="Times New Roman" w:cs="Times New Roman"/>
          <w:sz w:val="24"/>
          <w:szCs w:val="24"/>
        </w:rPr>
        <w:t xml:space="preserve"> data </w:t>
      </w:r>
      <w:proofErr w:type="spellStart"/>
      <w:r w:rsidRPr="00AD212C">
        <w:rPr>
          <w:rFonts w:ascii="Times New Roman" w:hAnsi="Times New Roman" w:cs="Times New Roman"/>
          <w:sz w:val="24"/>
          <w:szCs w:val="24"/>
        </w:rPr>
        <w:t>diatas</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DER</w:t>
      </w:r>
      <w:r w:rsidRPr="00AD212C">
        <w:rPr>
          <w:rFonts w:ascii="Times New Roman" w:hAnsi="Times New Roman" w:cs="Times New Roman"/>
          <w:sz w:val="24"/>
          <w:szCs w:val="24"/>
        </w:rPr>
        <w:t xml:space="preserve"> </w:t>
      </w:r>
      <w:r>
        <w:rPr>
          <w:rFonts w:ascii="Times New Roman" w:hAnsi="Times New Roman" w:cs="Times New Roman"/>
          <w:sz w:val="24"/>
          <w:szCs w:val="24"/>
        </w:rPr>
        <w:t>di</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w:t>
      </w:r>
      <w:proofErr w:type="spellStart"/>
      <w:r w:rsidRPr="00AD212C">
        <w:rPr>
          <w:rFonts w:ascii="Times New Roman" w:hAnsi="Times New Roman" w:cs="Times New Roman"/>
          <w:sz w:val="24"/>
          <w:szCs w:val="24"/>
        </w:rPr>
        <w:t>sektor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fluktuasi</w:t>
      </w:r>
      <w:proofErr w:type="spellEnd"/>
      <w:r w:rsidRPr="00AD212C">
        <w:rPr>
          <w:rFonts w:ascii="Times New Roman" w:hAnsi="Times New Roman" w:cs="Times New Roman"/>
          <w:sz w:val="24"/>
          <w:szCs w:val="24"/>
        </w:rPr>
        <w:t xml:space="preserve">. Pada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 </w:t>
      </w:r>
      <w:proofErr w:type="spellStart"/>
      <w:r w:rsidRPr="00AD212C">
        <w:rPr>
          <w:rFonts w:ascii="Times New Roman" w:hAnsi="Times New Roman" w:cs="Times New Roman"/>
          <w:sz w:val="24"/>
          <w:szCs w:val="24"/>
        </w:rPr>
        <w:t>nilai</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DER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3,62 kali,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2020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2,20 kali,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2021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1,76 kali,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2022 </w:t>
      </w:r>
      <w:proofErr w:type="spellStart"/>
      <w:r w:rsidRPr="00AD212C">
        <w:rPr>
          <w:rFonts w:ascii="Times New Roman" w:hAnsi="Times New Roman" w:cs="Times New Roman"/>
          <w:sz w:val="24"/>
          <w:szCs w:val="24"/>
        </w:rPr>
        <w:t>terus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penurunan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1,70 kali dan </w:t>
      </w:r>
      <w:proofErr w:type="spellStart"/>
      <w:r w:rsidRPr="00AD212C">
        <w:rPr>
          <w:rFonts w:ascii="Times New Roman" w:hAnsi="Times New Roman" w:cs="Times New Roman"/>
          <w:sz w:val="24"/>
          <w:szCs w:val="24"/>
        </w:rPr>
        <w:t>ditahun</w:t>
      </w:r>
      <w:proofErr w:type="spellEnd"/>
      <w:r w:rsidRPr="00AD212C">
        <w:rPr>
          <w:rFonts w:ascii="Times New Roman" w:hAnsi="Times New Roman" w:cs="Times New Roman"/>
          <w:sz w:val="24"/>
          <w:szCs w:val="24"/>
        </w:rPr>
        <w:t xml:space="preserve"> 2023 </w:t>
      </w:r>
      <w:proofErr w:type="spellStart"/>
      <w:r w:rsidRPr="00AD212C">
        <w:rPr>
          <w:rFonts w:ascii="Times New Roman" w:hAnsi="Times New Roman" w:cs="Times New Roman"/>
          <w:sz w:val="24"/>
          <w:szCs w:val="24"/>
        </w:rPr>
        <w:t>mengalami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kenaikan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mencapai</w:t>
      </w:r>
      <w:proofErr w:type="spellEnd"/>
      <w:r w:rsidRPr="00AD212C">
        <w:rPr>
          <w:rFonts w:ascii="Times New Roman" w:hAnsi="Times New Roman" w:cs="Times New Roman"/>
          <w:sz w:val="24"/>
          <w:szCs w:val="24"/>
        </w:rPr>
        <w:t xml:space="preserve"> 2,17 kali.</w:t>
      </w:r>
      <w:bookmarkEnd w:id="5"/>
    </w:p>
    <w:p w14:paraId="628AF46B" w14:textId="77777777" w:rsidR="00D30FD3" w:rsidRPr="00987F37" w:rsidRDefault="00D30FD3" w:rsidP="00D30FD3">
      <w:pPr>
        <w:pStyle w:val="ListParagraph"/>
        <w:spacing w:line="360" w:lineRule="auto"/>
        <w:ind w:left="360" w:firstLine="720"/>
        <w:rPr>
          <w:rFonts w:ascii="Times New Roman" w:hAnsi="Times New Roman" w:cs="Times New Roman"/>
          <w:sz w:val="24"/>
          <w:szCs w:val="24"/>
        </w:rPr>
      </w:pPr>
      <w:proofErr w:type="spellStart"/>
      <w:r w:rsidRPr="00AD212C">
        <w:rPr>
          <w:rFonts w:ascii="Times New Roman" w:hAnsi="Times New Roman" w:cs="Times New Roman"/>
          <w:sz w:val="24"/>
          <w:szCs w:val="24"/>
        </w:rPr>
        <w:t>Beberapa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terdahulu</w:t>
      </w:r>
      <w:proofErr w:type="spellEnd"/>
      <w:r w:rsidRPr="00AD212C">
        <w:rPr>
          <w:rFonts w:ascii="Times New Roman" w:hAnsi="Times New Roman" w:cs="Times New Roman"/>
          <w:sz w:val="24"/>
          <w:szCs w:val="24"/>
        </w:rPr>
        <w:t xml:space="preserve"> seperti yang </w:t>
      </w:r>
      <w:proofErr w:type="spellStart"/>
      <w:r>
        <w:rPr>
          <w:rFonts w:ascii="Times New Roman" w:hAnsi="Times New Roman" w:cs="Times New Roman"/>
          <w:sz w:val="24"/>
          <w:szCs w:val="24"/>
        </w:rPr>
        <w:t>diteliti</w:t>
      </w:r>
      <w:proofErr w:type="spellEnd"/>
      <w:r w:rsidRPr="00AD212C">
        <w:rPr>
          <w:rFonts w:ascii="Times New Roman" w:hAnsi="Times New Roman" w:cs="Times New Roman"/>
          <w:sz w:val="24"/>
          <w:szCs w:val="24"/>
        </w:rPr>
        <w:t xml:space="preserve"> oleh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{"citationItems":[{"id":"ITEM-1","itemData":{"author":[{"dropping-particle":"","family":"Firgie Natasya","given":"Reggina","non-dropping-particle":"","parse-names":false,"suffix":""},{"dropping-particle":"","family":"Nurhayati","given":"Immas","non-dropping-particle":"","parse-names":false,"suffix":""},{"dropping-particle":"","family":"Shinta Aminda","given":"Renea","non-dropping-particle":"","parse-names":false,"suffix":""}],"container-title":"Jurnal Akuntansi Keuangandan Bisnis","id":"ITEM-1","issued":{"date-parts":[["2024"]]},"title":"Pengaruh Current Ratio (CR) Net Profit Margin (NPM) Dan Return On Asset (ROA) Terhadap Harga Saham Pada Perusahaan Makanan Dan Minuman Yang Terdaftar Di Bursa Efek Indonesia (BEI) Tahun (2018- 2022)","type":"article-journal","volume":"1"},"uris":["http://www.mendeley.com/documents/?uuid=86d068f8-1860-49d7-9a9b-61c5eef7885a"]}],"mendeley":{"formattedCitation":"(Firgie Natasya et al., 2024)","manualFormatting":"Firgie Natasya et al., (2024)","plainTextFormattedCitation":"(Firgie Natasya et al., 2024)","previouslyFormattedCitation":"(Firgie Natasya et al., 2024)"},"properties":{"noteIndex":0},"schema":"https://github.com/citation-style-language/schema/raw/master/csl-citation.json"}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Firgie Natasya et al., (2024)</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menyimpulkan</w:t>
      </w:r>
      <w:proofErr w:type="spellEnd"/>
      <w:r w:rsidRPr="00AD212C">
        <w:rPr>
          <w:rFonts w:ascii="Times New Roman" w:hAnsi="Times New Roman" w:cs="Times New Roman"/>
          <w:i/>
          <w:iCs/>
          <w:sz w:val="24"/>
          <w:szCs w:val="24"/>
        </w:rPr>
        <w:t xml:space="preserve"> CR</w:t>
      </w:r>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namun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tidak </w:t>
      </w:r>
      <w:proofErr w:type="spellStart"/>
      <w:r>
        <w:rPr>
          <w:rFonts w:ascii="Times New Roman" w:hAnsi="Times New Roman" w:cs="Times New Roman"/>
          <w:sz w:val="24"/>
          <w:szCs w:val="24"/>
        </w:rPr>
        <w:t>sesuai</w:t>
      </w:r>
      <w:proofErr w:type="spellEnd"/>
      <w:r w:rsidRPr="00AD212C">
        <w:rPr>
          <w:rFonts w:ascii="Times New Roman" w:hAnsi="Times New Roman" w:cs="Times New Roman"/>
          <w:sz w:val="24"/>
          <w:szCs w:val="24"/>
        </w:rPr>
        <w:t xml:space="preserve"> dengan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{"citationItems":[{"id":"ITEM-1","itemData":{"DOI":"10.55587/jla.v3i2.65","abstract":"Penelitian ini bertujuan untuk mengetahui pengaruh current ratio dan net profit margin terhadap harga sahamdilakukan oleh perusahaan jasa perdagangan subsektor besar (grosir) yang terdaftar di Bursa Efek IndonesiaMenukarkan. Populasi penelitian ini adalah perusahaan jasa subsektor perdagangan besar (grosir).tercatat di BEI pada tahun 2020-2021. Sampel ditentukan berdasarkan metode purposive sampling,sebanyak 110 perusahaan.Metode yang digunakan dalam penelitian ini adalah metode kuantitatif. Metode ini digunakan untuk memprediksi pengaruhantara satu variabel dengan variabel lainnya, dalam penelitian ini variabel X1 (Current Ratio) dan X2 (Laba BersihMargin) adalah variabel dependen (bebas) dan variabel Y (Harga Saham) adalah variabel independen(melompat). ), instrumen yang digunakan adalah data sekunder dan analisis regresi sederhana digunakan untuk menganalisisdata.Hasil dalam penelitian ini adalah variabel Current Ratio (CR) berpengaruh negatif dan signifikan terhadapharga saham, Net Profit Margin (NPM) berpengaruh positif dan signifikan terhadap harga saham. Saat iniRasio (CR) dan Net Profit Margin (NPM) secara bersama-sama berpengaruh signifikan terhadap harga saham. Pembelajaranmenunjukkan bahwa current ratio berpengaruh negatif dan signifikan terhadap harga saham, margin laba bersihmemiliki efek positif pada harga saham.","author":[{"dropping-particle":"","family":"Wulan","given":"Aprilia","non-dropping-particle":"","parse-names":false,"suffix":""},{"dropping-particle":"","family":"Budiono","given":"Budiono","non-dropping-particle":"","parse-names":false,"suffix":""},{"dropping-particle":"","family":"Rahayu","given":"Dwi Puji Rahayu","non-dropping-particle":"","parse-names":false,"suffix":""},{"dropping-particle":"","family":"Supheni","given":"Indrian","non-dropping-particle":"","parse-names":false,"suffix":""},{"dropping-particle":"","family":"Purnamasari","given":"Wina Aprilia","non-dropping-particle":"","parse-names":false,"suffix":""}],"container-title":"Jurnal Literasi Akuntansi","id":"ITEM-1","issue":"2","issued":{"date-parts":[["2023"]]},"page":"58-70","title":"Analisis Pengaruh Current Ratio dan Net Profit Margin terhadap Harga Saham Pada Perusahaan Jasa Sub Sektor Perdagangan Besar (Grosir) Dimasa Pandemi Covid-19 Periode 2020-2021 (Studi Kasus pada Bursa Efek Indonesia)","type":"article-journal","volume":"3"},"uris":["http://www.mendeley.com/documents/?uuid=35720cb1-3e85-4dfd-aa4d-d3259e8ecad4"]}],"mendeley":{"formattedCitation":"(Wulan et al., 2023)","manualFormatting":"Wulan et al., (2023)","plainTextFormattedCitation":"(Wulan et al., 2023)","previouslyFormattedCitation":"(Wulan et al., 2023)"},"properties":{"noteIndex":0},"schema":"https://github.com/citation-style-language/schema/raw/master/csl-citation.json"}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Wulan et al., (2023)</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r w:rsidRPr="00AD212C">
        <w:rPr>
          <w:rFonts w:ascii="Times New Roman" w:hAnsi="Times New Roman" w:cs="Times New Roman"/>
          <w:i/>
          <w:iCs/>
          <w:sz w:val="24"/>
          <w:szCs w:val="24"/>
        </w:rPr>
        <w:t>CR</w:t>
      </w:r>
      <w:r w:rsidRPr="00AD212C">
        <w:rPr>
          <w:rFonts w:ascii="Times New Roman" w:hAnsi="Times New Roman" w:cs="Times New Roman"/>
          <w:sz w:val="24"/>
          <w:szCs w:val="24"/>
        </w:rPr>
        <w:t xml:space="preserve"> tidak </w:t>
      </w:r>
      <w:proofErr w:type="spellStart"/>
      <w:r>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{"citationItems":[{"id":"ITEM-1","itemData":{"DOI":"10.36441/snpk.vol1.2022.77","abstract":"Pasar modal sebagai sarana pembiayaan bisnis dimana perusahaan memperoleh modal dari investor. Tujuan utama investor membeli saham untuk memperoleh dividen dari selisih antara harga jual dan harga beli saham. Harga saham adalah harga per lembar saham perusahaan yang dikeluarkan di bursa. Penelitian ini bertujuan untuk menguji hubungan antara Return On Assets, Return On Equity, Earning Per Share dan Debt to Equity Ratio terhadap harga saham yang dilakukan pada seluruh perusahaan LQ45 yang terdaftar di Bursa Efek Indonesia selama periode 2016-2020. Penelitian ini merupakan penelitian kuantitatif yang diuji dengan menggunakan regresi linier berganda melalui SPSS 25. Sampel dalam penelitian ini sebanyak 178 perusahaan yang telah memenuhi kriteria pengambilan sampel dengan menggunakan metode purposive sampling. Hasil penelitian ini menunjukkan bahwa variabel Return On Assets, Earning Per Share dan Debt to Equity Ratio berpengaruh positif terhadap harga saham, sedangkan Return On Equity berpengaruh negatif terhadap harga saham. Perusahaan harus lebih memfokuskan kinerja yaitu Return On Assets, Return On Equity dan Earning Per Share untuk dapat meningkatkan harga saham.","author":[{"dropping-particle":"","family":"Dewi","given":"Natasha Salamona","non-dropping-particle":"","parse-names":false,"suffix":""},{"dropping-particle":"","family":"Suwarno","given":"Agus Endro","non-dropping-particle":"","parse-names":false,"suffix":""}],"container-title":"Seminar Nasional Pariwisata dan Kewirausahaan (SNPK)","id":"ITEM-1","issued":{"date-parts":[["2022"]]},"page":"472-482","title":"PENGARUH ROA, ROE, EPS DAN DER TERHADAP HARGA SAHAM PERUSAHAAN (Studi Empiris pada Perusahaan LQ45 yang Terdaftar di Bursa Efek Indonesia Tahun 2016-2020)","type":"article-journal","volume":"1"},"uris":["http://www.mendeley.com/documents/?uuid=10ecb54d-b178-420a-903c-ae8bfa8979e5"]}],"mendeley":{"formattedCitation":"(Dewi &amp; Suwarno, 2022)","manualFormatting":"Dewi &amp; Suwarno (2022)","plainTextFormattedCitation":"(Dewi &amp; Suwarno, 2022)","previouslyFormattedCitation":"(Dewi &amp; Suwarno, 2022)"},"properties":{"noteIndex":0},"schema":"https://github.com/citation-style-language/schema/raw/master/csl-citation.json"}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Dewi &amp; Suwarno (2022)</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menyimpulkan</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 xml:space="preserve">DER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EPS</w:t>
      </w:r>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parsial</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namun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tidak </w:t>
      </w:r>
      <w:proofErr w:type="spellStart"/>
      <w:r>
        <w:rPr>
          <w:rFonts w:ascii="Times New Roman" w:hAnsi="Times New Roman" w:cs="Times New Roman"/>
          <w:sz w:val="24"/>
          <w:szCs w:val="24"/>
        </w:rPr>
        <w:t>sesaui</w:t>
      </w:r>
      <w:proofErr w:type="spellEnd"/>
      <w:r w:rsidRPr="00AD212C">
        <w:rPr>
          <w:rFonts w:ascii="Times New Roman" w:hAnsi="Times New Roman" w:cs="Times New Roman"/>
          <w:sz w:val="24"/>
          <w:szCs w:val="24"/>
        </w:rPr>
        <w:t xml:space="preserve"> dengan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oleh </w:t>
      </w:r>
      <w:r w:rsidRPr="00AD212C">
        <w:rPr>
          <w:rFonts w:ascii="Times New Roman" w:hAnsi="Times New Roman" w:cs="Times New Roman"/>
          <w:sz w:val="24"/>
          <w:szCs w:val="24"/>
        </w:rPr>
        <w:fldChar w:fldCharType="begin" w:fldLock="1"/>
      </w:r>
      <w:r w:rsidRPr="00AD212C">
        <w:rPr>
          <w:rFonts w:ascii="Times New Roman" w:hAnsi="Times New Roman" w:cs="Times New Roman"/>
          <w:sz w:val="24"/>
          <w:szCs w:val="24"/>
        </w:rPr>
        <w:instrText>ADDIN CSL_CITATION {"citationItems":[{"id":"ITEM-1","itemData":{"DOI":"10.33395/owner.v7i1.1268","ISSN":"2548-7507","abstract":"This study is a quantitative study that aims to determine the effect of return on equity (ROE), earning per share (EPS) and debt to equity ratio (DER) on stock prices. The stock price is measured using the natural logarithm of the closing price. The population in this study are procesed food industry companies listed on the Indonesia Stock Exchange in 2018 – 2020. The sampling technique used is purposive sampling. The sample in this study amounted to 51 samples of 17 companies multiplied by accessing the company’s financial statement through the website of the Indonesia Stock Exchange (IDX). The data analysis technique used in this study is multiple linear regression analysis with the help of SPSS version 25 program. The result of this study indicate that simultaneously return on equity, earning per share and debt to equity ratio have an effect on stock prices. Partially, the return on equity has an effect on stock price. Earning per share and debt to equity ratio partially have no effect on stock prices.\r  \r Keywords: Return On Equity, Earning Per Share, Debt To Equity Ratio, Stock Price","author":[{"dropping-particle":"","family":"Andriani","given":"Sri Devi","non-dropping-particle":"","parse-names":false,"suffix":""},{"dropping-particle":"","family":"Kusumastuti","given":"Ratih","non-dropping-particle":"","parse-names":false,"suffix":""},{"dropping-particle":"","family":"Hernando","given":"Riski","non-dropping-particle":"","parse-names":false,"suffix":""}],"container-title":"Owner","id":"ITEM-1","issue":"1","issued":{"date-parts":[["2022"]]},"page":"333-345","title":"Pengaruh Return On Equity (ROE), Earning Per Share (EPS) dan Debt To Equity Ratio (DER) Terhadap Harga Saham (Studi Empiris Pada Perusahaan Industri Makanan Olahan yang Terdaftar di Bursa Efek Indonesia Tahun 2018 – 2020)","type":"article-journal","volume":"7"},"uris":["http://www.mendeley.com/documents/?uuid=503483f5-74ac-4097-aeef-042802b48cf7"]}],"mendeley":{"formattedCitation":"(Andriani et al., 2022)","manualFormatting":"Andriani et al., (2022)","plainTextFormattedCitation":"(Andriani et al., 2022)","previouslyFormattedCitation":"(Andriani et al., 2022)"},"properties":{"noteIndex":0},"schema":"https://github.com/citation-style-language/schema/raw/master/csl-citation.json"}</w:instrText>
      </w:r>
      <w:r w:rsidRPr="00AD212C">
        <w:rPr>
          <w:rFonts w:ascii="Times New Roman" w:hAnsi="Times New Roman" w:cs="Times New Roman"/>
          <w:sz w:val="24"/>
          <w:szCs w:val="24"/>
        </w:rPr>
        <w:fldChar w:fldCharType="separate"/>
      </w:r>
      <w:r w:rsidRPr="00AD212C">
        <w:rPr>
          <w:rFonts w:ascii="Times New Roman" w:hAnsi="Times New Roman" w:cs="Times New Roman"/>
          <w:noProof/>
          <w:sz w:val="24"/>
          <w:szCs w:val="24"/>
        </w:rPr>
        <w:t>Andriani et al., (2022)</w:t>
      </w:r>
      <w:r w:rsidRPr="00AD212C">
        <w:rPr>
          <w:rFonts w:ascii="Times New Roman" w:hAnsi="Times New Roman" w:cs="Times New Roman"/>
          <w:sz w:val="24"/>
          <w:szCs w:val="24"/>
        </w:rPr>
        <w:fldChar w:fldCharType="end"/>
      </w:r>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menyimpulkan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bahwa</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 xml:space="preserve">DER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EPS </w:t>
      </w:r>
      <w:r w:rsidRPr="00AD212C">
        <w:rPr>
          <w:rFonts w:ascii="Times New Roman" w:hAnsi="Times New Roman" w:cs="Times New Roman"/>
          <w:sz w:val="24"/>
          <w:szCs w:val="24"/>
        </w:rPr>
        <w:t xml:space="preserve">tidak </w:t>
      </w:r>
      <w:proofErr w:type="spellStart"/>
      <w:r>
        <w:rPr>
          <w:rFonts w:ascii="Times New Roman" w:hAnsi="Times New Roman" w:cs="Times New Roman"/>
          <w:sz w:val="24"/>
          <w:szCs w:val="24"/>
        </w:rPr>
        <w:t>mem</w:t>
      </w:r>
      <w:r w:rsidRPr="00AD212C">
        <w:rPr>
          <w:rFonts w:ascii="Times New Roman" w:hAnsi="Times New Roman" w:cs="Times New Roman"/>
          <w:sz w:val="24"/>
          <w:szCs w:val="24"/>
        </w:rPr>
        <w:t>peng</w:t>
      </w:r>
      <w:r w:rsidRPr="00987F37">
        <w:rPr>
          <w:rFonts w:ascii="Times New Roman" w:hAnsi="Times New Roman" w:cs="Times New Roman"/>
          <w:sz w:val="24"/>
          <w:szCs w:val="24"/>
        </w:rPr>
        <w:t>aruh</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987F37">
        <w:rPr>
          <w:rFonts w:ascii="Times New Roman" w:hAnsi="Times New Roman" w:cs="Times New Roman"/>
          <w:sz w:val="24"/>
          <w:szCs w:val="24"/>
        </w:rPr>
        <w:t>harga</w:t>
      </w:r>
      <w:proofErr w:type="spellEnd"/>
      <w:r w:rsidRPr="00987F37">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987F37">
        <w:rPr>
          <w:rFonts w:ascii="Times New Roman" w:hAnsi="Times New Roman" w:cs="Times New Roman"/>
          <w:sz w:val="24"/>
          <w:szCs w:val="24"/>
        </w:rPr>
        <w:t>saham</w:t>
      </w:r>
      <w:proofErr w:type="spellEnd"/>
      <w:r w:rsidRPr="002331AD">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parsial</w:t>
      </w:r>
      <w:r>
        <w:rPr>
          <w:rFonts w:ascii="Times New Roman" w:hAnsi="Times New Roman" w:cs="Times New Roman"/>
          <w:sz w:val="24"/>
          <w:szCs w:val="24"/>
        </w:rPr>
        <w:t>nya</w:t>
      </w:r>
      <w:proofErr w:type="spellEnd"/>
      <w:r w:rsidRPr="00987F37">
        <w:rPr>
          <w:rFonts w:ascii="Times New Roman" w:hAnsi="Times New Roman" w:cs="Times New Roman"/>
          <w:sz w:val="24"/>
          <w:szCs w:val="24"/>
        </w:rPr>
        <w:t>.</w:t>
      </w:r>
    </w:p>
    <w:p w14:paraId="07CF8DD5" w14:textId="77777777" w:rsidR="00D30FD3" w:rsidRDefault="00D30FD3" w:rsidP="00D30FD3">
      <w:pPr>
        <w:pStyle w:val="ListParagraph"/>
        <w:spacing w:after="0" w:line="360" w:lineRule="auto"/>
        <w:ind w:left="360" w:firstLine="720"/>
        <w:rPr>
          <w:rFonts w:ascii="Times New Roman" w:hAnsi="Times New Roman" w:cs="Times New Roman"/>
          <w:b/>
          <w:bCs/>
          <w:sz w:val="24"/>
          <w:szCs w:val="24"/>
        </w:rPr>
      </w:pPr>
      <w:bookmarkStart w:id="6" w:name="_Hlk179620799"/>
      <w:proofErr w:type="spellStart"/>
      <w:r w:rsidRPr="00AD212C">
        <w:rPr>
          <w:rFonts w:ascii="Times New Roman" w:hAnsi="Times New Roman" w:cs="Times New Roman"/>
          <w:sz w:val="24"/>
          <w:szCs w:val="24"/>
        </w:rPr>
        <w:t>Berdasarkan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yg sudah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penulis</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melakukan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berjudul</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b/>
          <w:bCs/>
          <w:sz w:val="24"/>
          <w:szCs w:val="24"/>
        </w:rPr>
        <w:t>Pengaruh</w:t>
      </w:r>
      <w:proofErr w:type="spellEnd"/>
      <w:r w:rsidRPr="00AD212C">
        <w:rPr>
          <w:rFonts w:ascii="Times New Roman" w:hAnsi="Times New Roman" w:cs="Times New Roman"/>
          <w:b/>
          <w:bCs/>
          <w:sz w:val="24"/>
          <w:szCs w:val="24"/>
        </w:rPr>
        <w:t xml:space="preserve"> </w:t>
      </w:r>
      <w:r w:rsidRPr="00AD212C">
        <w:rPr>
          <w:rFonts w:ascii="Times New Roman" w:hAnsi="Times New Roman" w:cs="Times New Roman"/>
          <w:b/>
          <w:bCs/>
          <w:i/>
          <w:iCs/>
          <w:sz w:val="24"/>
          <w:szCs w:val="24"/>
        </w:rPr>
        <w:t>Earning Per Share (EPS)</w:t>
      </w:r>
      <w:r w:rsidRPr="00AD212C">
        <w:rPr>
          <w:rFonts w:ascii="Times New Roman" w:hAnsi="Times New Roman" w:cs="Times New Roman"/>
          <w:b/>
          <w:bCs/>
          <w:sz w:val="24"/>
          <w:szCs w:val="24"/>
        </w:rPr>
        <w:t xml:space="preserve">, </w:t>
      </w:r>
      <w:r w:rsidRPr="00AD212C">
        <w:rPr>
          <w:rFonts w:ascii="Times New Roman" w:hAnsi="Times New Roman" w:cs="Times New Roman"/>
          <w:b/>
          <w:bCs/>
          <w:i/>
          <w:iCs/>
          <w:sz w:val="24"/>
          <w:szCs w:val="24"/>
        </w:rPr>
        <w:t xml:space="preserve">Current Ratio (CR) </w:t>
      </w:r>
      <w:r w:rsidRPr="00AD212C">
        <w:rPr>
          <w:rFonts w:ascii="Times New Roman" w:hAnsi="Times New Roman" w:cs="Times New Roman"/>
          <w:b/>
          <w:bCs/>
          <w:sz w:val="24"/>
          <w:szCs w:val="24"/>
        </w:rPr>
        <w:t>dan</w:t>
      </w:r>
      <w:r w:rsidRPr="00AD212C">
        <w:rPr>
          <w:rFonts w:ascii="Times New Roman" w:hAnsi="Times New Roman" w:cs="Times New Roman"/>
          <w:b/>
          <w:bCs/>
          <w:i/>
          <w:iCs/>
          <w:sz w:val="24"/>
          <w:szCs w:val="24"/>
        </w:rPr>
        <w:t xml:space="preserve"> Debt to Equity Ratio (DER)</w:t>
      </w:r>
      <w:r w:rsidRPr="00AD212C">
        <w:rPr>
          <w:rFonts w:ascii="Times New Roman" w:hAnsi="Times New Roman" w:cs="Times New Roman"/>
          <w:b/>
          <w:bCs/>
          <w:sz w:val="24"/>
          <w:szCs w:val="24"/>
        </w:rPr>
        <w:t xml:space="preserve"> </w:t>
      </w:r>
      <w:proofErr w:type="spellStart"/>
      <w:r w:rsidRPr="00AD212C">
        <w:rPr>
          <w:rFonts w:ascii="Times New Roman" w:hAnsi="Times New Roman" w:cs="Times New Roman"/>
          <w:b/>
          <w:bCs/>
          <w:sz w:val="24"/>
          <w:szCs w:val="24"/>
        </w:rPr>
        <w:t>Terhadap</w:t>
      </w:r>
      <w:proofErr w:type="spellEnd"/>
      <w:r w:rsidRPr="00AD212C">
        <w:rPr>
          <w:rFonts w:ascii="Times New Roman" w:hAnsi="Times New Roman" w:cs="Times New Roman"/>
          <w:b/>
          <w:bCs/>
          <w:sz w:val="24"/>
          <w:szCs w:val="24"/>
        </w:rPr>
        <w:t xml:space="preserve"> Harga Saham Pada Perusahaan Sub Sektor </w:t>
      </w:r>
      <w:proofErr w:type="spellStart"/>
      <w:r w:rsidRPr="00AD212C">
        <w:rPr>
          <w:rFonts w:ascii="Times New Roman" w:hAnsi="Times New Roman" w:cs="Times New Roman"/>
          <w:b/>
          <w:bCs/>
          <w:sz w:val="24"/>
          <w:szCs w:val="24"/>
        </w:rPr>
        <w:t>Konstruksi</w:t>
      </w:r>
      <w:proofErr w:type="spellEnd"/>
      <w:r w:rsidRPr="00AD212C">
        <w:rPr>
          <w:rFonts w:ascii="Times New Roman" w:hAnsi="Times New Roman" w:cs="Times New Roman"/>
          <w:b/>
          <w:bCs/>
          <w:sz w:val="24"/>
          <w:szCs w:val="24"/>
        </w:rPr>
        <w:t xml:space="preserve"> Yang </w:t>
      </w:r>
      <w:proofErr w:type="spellStart"/>
      <w:r w:rsidRPr="00AD212C">
        <w:rPr>
          <w:rFonts w:ascii="Times New Roman" w:hAnsi="Times New Roman" w:cs="Times New Roman"/>
          <w:b/>
          <w:bCs/>
          <w:sz w:val="24"/>
          <w:szCs w:val="24"/>
        </w:rPr>
        <w:t>Terdaftar</w:t>
      </w:r>
      <w:proofErr w:type="spellEnd"/>
      <w:r w:rsidRPr="00AD212C">
        <w:rPr>
          <w:rFonts w:ascii="Times New Roman" w:hAnsi="Times New Roman" w:cs="Times New Roman"/>
          <w:b/>
          <w:bCs/>
          <w:sz w:val="24"/>
          <w:szCs w:val="24"/>
        </w:rPr>
        <w:t xml:space="preserve"> di Bursa </w:t>
      </w:r>
      <w:proofErr w:type="spellStart"/>
      <w:r w:rsidRPr="00AD212C">
        <w:rPr>
          <w:rFonts w:ascii="Times New Roman" w:hAnsi="Times New Roman" w:cs="Times New Roman"/>
          <w:b/>
          <w:bCs/>
          <w:sz w:val="24"/>
          <w:szCs w:val="24"/>
        </w:rPr>
        <w:t>Efek</w:t>
      </w:r>
      <w:proofErr w:type="spellEnd"/>
      <w:r w:rsidRPr="00AD212C">
        <w:rPr>
          <w:rFonts w:ascii="Times New Roman" w:hAnsi="Times New Roman" w:cs="Times New Roman"/>
          <w:b/>
          <w:bCs/>
          <w:sz w:val="24"/>
          <w:szCs w:val="24"/>
        </w:rPr>
        <w:t xml:space="preserve"> Indonesia </w:t>
      </w:r>
      <w:proofErr w:type="spellStart"/>
      <w:r w:rsidRPr="00AD212C">
        <w:rPr>
          <w:rFonts w:ascii="Times New Roman" w:hAnsi="Times New Roman" w:cs="Times New Roman"/>
          <w:b/>
          <w:bCs/>
          <w:sz w:val="24"/>
          <w:szCs w:val="24"/>
        </w:rPr>
        <w:t>Tahun</w:t>
      </w:r>
      <w:proofErr w:type="spellEnd"/>
      <w:r w:rsidRPr="00AD212C">
        <w:rPr>
          <w:rFonts w:ascii="Times New Roman" w:hAnsi="Times New Roman" w:cs="Times New Roman"/>
          <w:b/>
          <w:bCs/>
          <w:sz w:val="24"/>
          <w:szCs w:val="24"/>
        </w:rPr>
        <w:t xml:space="preserve"> 2019-2023</w:t>
      </w:r>
      <w:r>
        <w:rPr>
          <w:rFonts w:ascii="Times New Roman" w:hAnsi="Times New Roman" w:cs="Times New Roman"/>
          <w:b/>
          <w:bCs/>
          <w:sz w:val="24"/>
          <w:szCs w:val="24"/>
        </w:rPr>
        <w:t>”</w:t>
      </w:r>
      <w:r w:rsidRPr="00AD212C">
        <w:rPr>
          <w:rFonts w:ascii="Times New Roman" w:hAnsi="Times New Roman" w:cs="Times New Roman"/>
          <w:b/>
          <w:bCs/>
          <w:sz w:val="24"/>
          <w:szCs w:val="24"/>
        </w:rPr>
        <w:t xml:space="preserve">. </w:t>
      </w:r>
      <w:bookmarkEnd w:id="6"/>
    </w:p>
    <w:p w14:paraId="4080D981" w14:textId="77777777" w:rsidR="00D30FD3" w:rsidRPr="00AD212C" w:rsidRDefault="00D30FD3" w:rsidP="00D30FD3">
      <w:pPr>
        <w:pStyle w:val="ListParagraph"/>
        <w:spacing w:after="0" w:line="240" w:lineRule="auto"/>
        <w:ind w:left="360" w:firstLine="720"/>
        <w:rPr>
          <w:rFonts w:ascii="Times New Roman" w:hAnsi="Times New Roman" w:cs="Times New Roman"/>
          <w:b/>
          <w:bCs/>
          <w:sz w:val="24"/>
          <w:szCs w:val="24"/>
        </w:rPr>
      </w:pPr>
    </w:p>
    <w:p w14:paraId="2A24FB63" w14:textId="77777777" w:rsidR="00D30FD3" w:rsidRPr="00AD212C" w:rsidRDefault="00D30FD3" w:rsidP="00D30FD3">
      <w:pPr>
        <w:pStyle w:val="ListParagraph"/>
        <w:numPr>
          <w:ilvl w:val="0"/>
          <w:numId w:val="13"/>
        </w:numPr>
        <w:spacing w:line="360" w:lineRule="auto"/>
        <w:ind w:left="360"/>
        <w:rPr>
          <w:rFonts w:ascii="Times New Roman" w:hAnsi="Times New Roman" w:cs="Times New Roman"/>
          <w:b/>
          <w:bCs/>
          <w:sz w:val="24"/>
          <w:szCs w:val="24"/>
        </w:rPr>
      </w:pPr>
      <w:proofErr w:type="spellStart"/>
      <w:r w:rsidRPr="00AD212C">
        <w:rPr>
          <w:rFonts w:ascii="Times New Roman" w:hAnsi="Times New Roman" w:cs="Times New Roman"/>
          <w:b/>
          <w:bCs/>
          <w:sz w:val="24"/>
          <w:szCs w:val="24"/>
        </w:rPr>
        <w:t>Pembatasan</w:t>
      </w:r>
      <w:proofErr w:type="spellEnd"/>
      <w:r w:rsidRPr="00AD212C">
        <w:rPr>
          <w:rFonts w:ascii="Times New Roman" w:hAnsi="Times New Roman" w:cs="Times New Roman"/>
          <w:b/>
          <w:bCs/>
          <w:sz w:val="24"/>
          <w:szCs w:val="24"/>
        </w:rPr>
        <w:t xml:space="preserve"> </w:t>
      </w:r>
      <w:proofErr w:type="spellStart"/>
      <w:r w:rsidRPr="00AD212C">
        <w:rPr>
          <w:rFonts w:ascii="Times New Roman" w:hAnsi="Times New Roman" w:cs="Times New Roman"/>
          <w:b/>
          <w:bCs/>
          <w:sz w:val="24"/>
          <w:szCs w:val="24"/>
        </w:rPr>
        <w:t>Masalah</w:t>
      </w:r>
      <w:proofErr w:type="spellEnd"/>
    </w:p>
    <w:p w14:paraId="67CCD06A" w14:textId="77777777" w:rsidR="00D30FD3" w:rsidRPr="00AD212C" w:rsidRDefault="00D30FD3" w:rsidP="00D30FD3">
      <w:pPr>
        <w:pStyle w:val="ListParagraph"/>
        <w:spacing w:line="360" w:lineRule="auto"/>
        <w:ind w:left="360"/>
        <w:rPr>
          <w:rFonts w:ascii="Times New Roman" w:hAnsi="Times New Roman" w:cs="Times New Roman"/>
          <w:sz w:val="24"/>
          <w:szCs w:val="24"/>
        </w:rPr>
      </w:pPr>
      <w:r w:rsidRPr="00AD212C">
        <w:rPr>
          <w:rFonts w:ascii="Times New Roman" w:hAnsi="Times New Roman" w:cs="Times New Roman"/>
          <w:sz w:val="24"/>
          <w:szCs w:val="24"/>
        </w:rPr>
        <w:t xml:space="preserve">Agar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fokus</w:t>
      </w:r>
      <w:proofErr w:type="spellEnd"/>
      <w:r w:rsidRPr="00AD212C">
        <w:rPr>
          <w:rFonts w:ascii="Times New Roman" w:hAnsi="Times New Roman" w:cs="Times New Roman"/>
          <w:sz w:val="24"/>
          <w:szCs w:val="24"/>
        </w:rPr>
        <w:t xml:space="preserve"> ke </w:t>
      </w:r>
      <w:proofErr w:type="spellStart"/>
      <w:r w:rsidRPr="00AD212C">
        <w:rPr>
          <w:rFonts w:ascii="Times New Roman" w:hAnsi="Times New Roman" w:cs="Times New Roman"/>
          <w:sz w:val="24"/>
          <w:szCs w:val="24"/>
        </w:rPr>
        <w:t>topik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utama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maka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studi</w:t>
      </w:r>
      <w:proofErr w:type="spellEnd"/>
      <w:r w:rsidRPr="00AD212C">
        <w:rPr>
          <w:rFonts w:ascii="Times New Roman" w:hAnsi="Times New Roman" w:cs="Times New Roman"/>
          <w:sz w:val="24"/>
          <w:szCs w:val="24"/>
        </w:rPr>
        <w:t xml:space="preserve"> ini </w:t>
      </w:r>
      <w:proofErr w:type="spellStart"/>
      <w:r w:rsidRPr="00AD212C">
        <w:rPr>
          <w:rFonts w:ascii="Times New Roman" w:hAnsi="Times New Roman" w:cs="Times New Roman"/>
          <w:sz w:val="24"/>
          <w:szCs w:val="24"/>
        </w:rPr>
        <w:t>diberi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batasan</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meliputi</w:t>
      </w:r>
      <w:proofErr w:type="spellEnd"/>
      <w:r w:rsidRPr="00AD212C">
        <w:rPr>
          <w:rFonts w:ascii="Times New Roman" w:hAnsi="Times New Roman" w:cs="Times New Roman"/>
          <w:sz w:val="24"/>
          <w:szCs w:val="24"/>
        </w:rPr>
        <w:t>:</w:t>
      </w:r>
    </w:p>
    <w:p w14:paraId="37646F57" w14:textId="77777777" w:rsidR="00D30FD3" w:rsidRPr="00AD212C" w:rsidRDefault="00D30FD3" w:rsidP="00D30FD3">
      <w:pPr>
        <w:pStyle w:val="ListParagraph"/>
        <w:numPr>
          <w:ilvl w:val="0"/>
          <w:numId w:val="14"/>
        </w:numPr>
        <w:spacing w:line="360" w:lineRule="auto"/>
        <w:ind w:left="720"/>
        <w:rPr>
          <w:rFonts w:ascii="Times New Roman" w:hAnsi="Times New Roman" w:cs="Times New Roman"/>
          <w:sz w:val="24"/>
          <w:szCs w:val="24"/>
        </w:rPr>
      </w:pPr>
      <w:proofErr w:type="spellStart"/>
      <w:r w:rsidRPr="00AD212C">
        <w:rPr>
          <w:rFonts w:ascii="Times New Roman" w:hAnsi="Times New Roman" w:cs="Times New Roman"/>
          <w:sz w:val="24"/>
          <w:szCs w:val="24"/>
        </w:rPr>
        <w:t>Objek</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diteliti</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AD212C">
        <w:rPr>
          <w:rFonts w:ascii="Times New Roman" w:hAnsi="Times New Roman" w:cs="Times New Roman"/>
          <w:sz w:val="24"/>
          <w:szCs w:val="24"/>
        </w:rPr>
        <w:t xml:space="preserve"> Perusahaan </w:t>
      </w:r>
      <w:proofErr w:type="spellStart"/>
      <w:r w:rsidRPr="00AD212C">
        <w:rPr>
          <w:rFonts w:ascii="Times New Roman" w:hAnsi="Times New Roman" w:cs="Times New Roman"/>
          <w:sz w:val="24"/>
          <w:szCs w:val="24"/>
        </w:rPr>
        <w:t>Sub</w:t>
      </w:r>
      <w:r>
        <w:rPr>
          <w:rFonts w:ascii="Times New Roman" w:hAnsi="Times New Roman" w:cs="Times New Roman"/>
          <w:sz w:val="24"/>
          <w:szCs w:val="24"/>
        </w:rPr>
        <w:t>s</w:t>
      </w:r>
      <w:r w:rsidRPr="00AD212C">
        <w:rPr>
          <w:rFonts w:ascii="Times New Roman" w:hAnsi="Times New Roman" w:cs="Times New Roman"/>
          <w:sz w:val="24"/>
          <w:szCs w:val="24"/>
        </w:rPr>
        <w:t>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terdaftar</w:t>
      </w:r>
      <w:proofErr w:type="spellEnd"/>
      <w:r w:rsidRPr="00AD212C">
        <w:rPr>
          <w:rFonts w:ascii="Times New Roman" w:hAnsi="Times New Roman" w:cs="Times New Roman"/>
          <w:sz w:val="24"/>
          <w:szCs w:val="24"/>
        </w:rPr>
        <w:t xml:space="preserve"> di Bursa </w:t>
      </w:r>
      <w:proofErr w:type="spellStart"/>
      <w:r w:rsidRPr="00AD212C">
        <w:rPr>
          <w:rFonts w:ascii="Times New Roman" w:hAnsi="Times New Roman" w:cs="Times New Roman"/>
          <w:sz w:val="24"/>
          <w:szCs w:val="24"/>
        </w:rPr>
        <w:t>Efek</w:t>
      </w:r>
      <w:proofErr w:type="spellEnd"/>
      <w:r w:rsidRPr="00AD212C">
        <w:rPr>
          <w:rFonts w:ascii="Times New Roman" w:hAnsi="Times New Roman" w:cs="Times New Roman"/>
          <w:sz w:val="24"/>
          <w:szCs w:val="24"/>
        </w:rPr>
        <w:t xml:space="preserve"> Indonesia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2310279C" w14:textId="77777777" w:rsidR="00D30FD3" w:rsidRPr="006D14AD" w:rsidRDefault="00D30FD3" w:rsidP="00D30FD3">
      <w:pPr>
        <w:pStyle w:val="ListParagraph"/>
        <w:numPr>
          <w:ilvl w:val="0"/>
          <w:numId w:val="14"/>
        </w:numPr>
        <w:spacing w:line="360" w:lineRule="auto"/>
        <w:ind w:left="720"/>
        <w:rPr>
          <w:rFonts w:ascii="Times New Roman" w:hAnsi="Times New Roman" w:cs="Times New Roman"/>
          <w:sz w:val="24"/>
          <w:szCs w:val="24"/>
        </w:rPr>
      </w:pPr>
      <w:proofErr w:type="spellStart"/>
      <w:r w:rsidRPr="00AD212C">
        <w:rPr>
          <w:rFonts w:ascii="Times New Roman" w:hAnsi="Times New Roman" w:cs="Times New Roman"/>
          <w:sz w:val="24"/>
          <w:szCs w:val="24"/>
        </w:rPr>
        <w:t>Variabel</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diteliti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adalah</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variabel</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i/>
          <w:iCs/>
          <w:sz w:val="24"/>
          <w:szCs w:val="24"/>
        </w:rPr>
        <w:t>Independen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ya</w:t>
      </w:r>
      <w:r>
        <w:rPr>
          <w:rFonts w:ascii="Times New Roman" w:hAnsi="Times New Roman" w:cs="Times New Roman"/>
          <w:sz w:val="24"/>
          <w:szCs w:val="24"/>
        </w:rPr>
        <w:t>kni</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 xml:space="preserve">Earning Per Share (EPS), Current Ratio (CR)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Debt to Equity Ratio (DER)</w:t>
      </w:r>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AD212C">
        <w:rPr>
          <w:rFonts w:ascii="Times New Roman" w:hAnsi="Times New Roman" w:cs="Times New Roman"/>
          <w:i/>
          <w:iCs/>
          <w:sz w:val="24"/>
          <w:szCs w:val="24"/>
        </w:rPr>
        <w:t>Dependen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ya</w:t>
      </w:r>
      <w:r>
        <w:rPr>
          <w:rFonts w:ascii="Times New Roman" w:hAnsi="Times New Roman" w:cs="Times New Roman"/>
          <w:sz w:val="24"/>
          <w:szCs w:val="24"/>
        </w:rPr>
        <w:t>kni</w:t>
      </w:r>
      <w:proofErr w:type="spellEnd"/>
      <w:r w:rsidRPr="00AD212C">
        <w:rPr>
          <w:rFonts w:ascii="Times New Roman" w:hAnsi="Times New Roman" w:cs="Times New Roman"/>
          <w:sz w:val="24"/>
          <w:szCs w:val="24"/>
        </w:rPr>
        <w:t xml:space="preserve"> Harga Saham. </w:t>
      </w:r>
    </w:p>
    <w:p w14:paraId="3DCC5EB1" w14:textId="77777777" w:rsidR="00D30FD3" w:rsidRPr="00AD212C" w:rsidRDefault="00D30FD3" w:rsidP="00D30FD3">
      <w:pPr>
        <w:pStyle w:val="ListParagraph"/>
        <w:numPr>
          <w:ilvl w:val="0"/>
          <w:numId w:val="13"/>
        </w:numPr>
        <w:spacing w:line="360" w:lineRule="auto"/>
        <w:ind w:left="360"/>
        <w:rPr>
          <w:rFonts w:ascii="Times New Roman" w:hAnsi="Times New Roman" w:cs="Times New Roman"/>
          <w:b/>
          <w:bCs/>
          <w:sz w:val="24"/>
          <w:szCs w:val="24"/>
        </w:rPr>
      </w:pPr>
      <w:proofErr w:type="spellStart"/>
      <w:r w:rsidRPr="00AD212C">
        <w:rPr>
          <w:rFonts w:ascii="Times New Roman" w:hAnsi="Times New Roman" w:cs="Times New Roman"/>
          <w:b/>
          <w:bCs/>
          <w:sz w:val="24"/>
          <w:szCs w:val="24"/>
        </w:rPr>
        <w:lastRenderedPageBreak/>
        <w:t>Rumusan</w:t>
      </w:r>
      <w:proofErr w:type="spellEnd"/>
      <w:r w:rsidRPr="00AD212C">
        <w:rPr>
          <w:rFonts w:ascii="Times New Roman" w:hAnsi="Times New Roman" w:cs="Times New Roman"/>
          <w:b/>
          <w:bCs/>
          <w:sz w:val="24"/>
          <w:szCs w:val="24"/>
        </w:rPr>
        <w:t xml:space="preserve"> </w:t>
      </w:r>
      <w:proofErr w:type="spellStart"/>
      <w:r w:rsidRPr="00AD212C">
        <w:rPr>
          <w:rFonts w:ascii="Times New Roman" w:hAnsi="Times New Roman" w:cs="Times New Roman"/>
          <w:b/>
          <w:bCs/>
          <w:sz w:val="24"/>
          <w:szCs w:val="24"/>
        </w:rPr>
        <w:t>Masalah</w:t>
      </w:r>
      <w:proofErr w:type="spellEnd"/>
    </w:p>
    <w:p w14:paraId="64599007" w14:textId="77777777" w:rsidR="00D30FD3" w:rsidRPr="00AD212C" w:rsidRDefault="00D30FD3" w:rsidP="00D30FD3">
      <w:pPr>
        <w:pStyle w:val="ListParagraph"/>
        <w:spacing w:line="360" w:lineRule="auto"/>
        <w:ind w:left="360"/>
        <w:rPr>
          <w:rFonts w:ascii="Times New Roman" w:hAnsi="Times New Roman" w:cs="Times New Roman"/>
          <w:sz w:val="24"/>
          <w:szCs w:val="24"/>
        </w:rPr>
      </w:pPr>
      <w:proofErr w:type="spellStart"/>
      <w:r w:rsidRPr="00AD212C">
        <w:rPr>
          <w:rFonts w:ascii="Times New Roman" w:hAnsi="Times New Roman" w:cs="Times New Roman"/>
          <w:sz w:val="24"/>
          <w:szCs w:val="24"/>
        </w:rPr>
        <w:t>Sesuai</w:t>
      </w:r>
      <w:proofErr w:type="spellEnd"/>
      <w:r w:rsidRPr="00AD212C">
        <w:rPr>
          <w:rFonts w:ascii="Times New Roman" w:hAnsi="Times New Roman" w:cs="Times New Roman"/>
          <w:sz w:val="24"/>
          <w:szCs w:val="24"/>
        </w:rPr>
        <w:t xml:space="preserve"> dengan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maka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rumusan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masalah</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meliputi</w:t>
      </w:r>
      <w:proofErr w:type="spellEnd"/>
      <w:r w:rsidRPr="00AD212C">
        <w:rPr>
          <w:rFonts w:ascii="Times New Roman" w:hAnsi="Times New Roman" w:cs="Times New Roman"/>
          <w:sz w:val="24"/>
          <w:szCs w:val="24"/>
        </w:rPr>
        <w:t xml:space="preserve">: </w:t>
      </w:r>
    </w:p>
    <w:p w14:paraId="5AF753AD" w14:textId="77777777" w:rsidR="00D30FD3" w:rsidRPr="00AD212C" w:rsidRDefault="00D30FD3" w:rsidP="00D30FD3">
      <w:pPr>
        <w:pStyle w:val="ListParagraph"/>
        <w:numPr>
          <w:ilvl w:val="0"/>
          <w:numId w:val="15"/>
        </w:numPr>
        <w:spacing w:line="360" w:lineRule="auto"/>
        <w:ind w:left="720"/>
        <w:rPr>
          <w:rFonts w:ascii="Times New Roman" w:hAnsi="Times New Roman" w:cs="Times New Roman"/>
          <w:sz w:val="24"/>
          <w:szCs w:val="24"/>
        </w:rPr>
      </w:pPr>
      <w:bookmarkStart w:id="7" w:name="_Hlk171078837"/>
      <w:proofErr w:type="spellStart"/>
      <w:r w:rsidRPr="00AD212C">
        <w:rPr>
          <w:rFonts w:ascii="Times New Roman" w:hAnsi="Times New Roman" w:cs="Times New Roman"/>
          <w:sz w:val="24"/>
          <w:szCs w:val="24"/>
        </w:rPr>
        <w:t>Apakah</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Earning Per Share (EPS)</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Sub</w:t>
      </w:r>
      <w:r>
        <w:rPr>
          <w:rFonts w:ascii="Times New Roman" w:hAnsi="Times New Roman" w:cs="Times New Roman"/>
          <w:sz w:val="24"/>
          <w:szCs w:val="24"/>
        </w:rPr>
        <w:t>s</w:t>
      </w:r>
      <w:r w:rsidRPr="00AD212C">
        <w:rPr>
          <w:rFonts w:ascii="Times New Roman" w:hAnsi="Times New Roman" w:cs="Times New Roman"/>
          <w:sz w:val="24"/>
          <w:szCs w:val="24"/>
        </w:rPr>
        <w:t>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5D520CB5" w14:textId="77777777" w:rsidR="00D30FD3" w:rsidRPr="00AD212C" w:rsidRDefault="00D30FD3" w:rsidP="00D30FD3">
      <w:pPr>
        <w:pStyle w:val="ListParagraph"/>
        <w:numPr>
          <w:ilvl w:val="0"/>
          <w:numId w:val="15"/>
        </w:numPr>
        <w:spacing w:line="360" w:lineRule="auto"/>
        <w:ind w:left="720"/>
        <w:rPr>
          <w:rFonts w:ascii="Times New Roman" w:hAnsi="Times New Roman" w:cs="Times New Roman"/>
          <w:sz w:val="24"/>
          <w:szCs w:val="24"/>
        </w:rPr>
      </w:pPr>
      <w:proofErr w:type="spellStart"/>
      <w:r w:rsidRPr="00AD212C">
        <w:rPr>
          <w:rFonts w:ascii="Times New Roman" w:hAnsi="Times New Roman" w:cs="Times New Roman"/>
          <w:sz w:val="24"/>
          <w:szCs w:val="24"/>
        </w:rPr>
        <w:t>Apakah</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Current Ratio (CR)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Sub</w:t>
      </w:r>
      <w:r>
        <w:rPr>
          <w:rFonts w:ascii="Times New Roman" w:hAnsi="Times New Roman" w:cs="Times New Roman"/>
          <w:sz w:val="24"/>
          <w:szCs w:val="24"/>
        </w:rPr>
        <w:t>s</w:t>
      </w:r>
      <w:r w:rsidRPr="00AD212C">
        <w:rPr>
          <w:rFonts w:ascii="Times New Roman" w:hAnsi="Times New Roman" w:cs="Times New Roman"/>
          <w:sz w:val="24"/>
          <w:szCs w:val="24"/>
        </w:rPr>
        <w:t>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2FBE5512" w14:textId="77777777" w:rsidR="00D30FD3" w:rsidRPr="00AD212C" w:rsidRDefault="00D30FD3" w:rsidP="00D30FD3">
      <w:pPr>
        <w:pStyle w:val="ListParagraph"/>
        <w:numPr>
          <w:ilvl w:val="0"/>
          <w:numId w:val="15"/>
        </w:numPr>
        <w:spacing w:line="360" w:lineRule="auto"/>
        <w:ind w:left="720"/>
        <w:rPr>
          <w:rFonts w:ascii="Times New Roman" w:hAnsi="Times New Roman" w:cs="Times New Roman"/>
          <w:sz w:val="24"/>
          <w:szCs w:val="24"/>
        </w:rPr>
      </w:pPr>
      <w:proofErr w:type="spellStart"/>
      <w:r w:rsidRPr="00AD212C">
        <w:rPr>
          <w:rFonts w:ascii="Times New Roman" w:hAnsi="Times New Roman" w:cs="Times New Roman"/>
          <w:sz w:val="24"/>
          <w:szCs w:val="24"/>
        </w:rPr>
        <w:t>Apakah</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Debt to Equity Ratio (DER)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Harga Saham</w:t>
      </w:r>
      <w:r>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Sub</w:t>
      </w:r>
      <w:r>
        <w:rPr>
          <w:rFonts w:ascii="Times New Roman" w:hAnsi="Times New Roman" w:cs="Times New Roman"/>
          <w:sz w:val="24"/>
          <w:szCs w:val="24"/>
        </w:rPr>
        <w:t>s</w:t>
      </w:r>
      <w:r w:rsidRPr="00AD212C">
        <w:rPr>
          <w:rFonts w:ascii="Times New Roman" w:hAnsi="Times New Roman" w:cs="Times New Roman"/>
          <w:sz w:val="24"/>
          <w:szCs w:val="24"/>
        </w:rPr>
        <w:t>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33D25ACC" w14:textId="77777777" w:rsidR="00D30FD3" w:rsidRDefault="00D30FD3" w:rsidP="00D30FD3">
      <w:pPr>
        <w:pStyle w:val="ListParagraph"/>
        <w:numPr>
          <w:ilvl w:val="0"/>
          <w:numId w:val="15"/>
        </w:numPr>
        <w:spacing w:line="360" w:lineRule="auto"/>
        <w:ind w:left="720"/>
        <w:rPr>
          <w:rFonts w:ascii="Times New Roman" w:hAnsi="Times New Roman" w:cs="Times New Roman"/>
          <w:sz w:val="24"/>
          <w:szCs w:val="24"/>
        </w:rPr>
      </w:pPr>
      <w:proofErr w:type="spellStart"/>
      <w:r w:rsidRPr="00AD212C">
        <w:rPr>
          <w:rFonts w:ascii="Times New Roman" w:hAnsi="Times New Roman" w:cs="Times New Roman"/>
          <w:sz w:val="24"/>
          <w:szCs w:val="24"/>
        </w:rPr>
        <w:t>Apakah</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 xml:space="preserve">Earning Per Share (EPS), Current Ratio (CR)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Debt to Equity ratio (DER)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simultan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mempengaruhi</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Sub</w:t>
      </w:r>
      <w:r>
        <w:rPr>
          <w:rFonts w:ascii="Times New Roman" w:hAnsi="Times New Roman" w:cs="Times New Roman"/>
          <w:sz w:val="24"/>
          <w:szCs w:val="24"/>
        </w:rPr>
        <w:t>s</w:t>
      </w:r>
      <w:r w:rsidRPr="00AD212C">
        <w:rPr>
          <w:rFonts w:ascii="Times New Roman" w:hAnsi="Times New Roman" w:cs="Times New Roman"/>
          <w:sz w:val="24"/>
          <w:szCs w:val="24"/>
        </w:rPr>
        <w:t>ektor</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27F213FC" w14:textId="77777777" w:rsidR="00D30FD3" w:rsidRPr="00AD212C" w:rsidRDefault="00D30FD3" w:rsidP="00D30FD3">
      <w:pPr>
        <w:pStyle w:val="ListParagraph"/>
        <w:spacing w:line="240" w:lineRule="auto"/>
        <w:rPr>
          <w:rFonts w:ascii="Times New Roman" w:hAnsi="Times New Roman" w:cs="Times New Roman"/>
          <w:sz w:val="24"/>
          <w:szCs w:val="24"/>
        </w:rPr>
      </w:pPr>
    </w:p>
    <w:bookmarkEnd w:id="7"/>
    <w:p w14:paraId="0CF57627" w14:textId="77777777" w:rsidR="00D30FD3" w:rsidRPr="00AD212C" w:rsidRDefault="00D30FD3" w:rsidP="00D30FD3">
      <w:pPr>
        <w:pStyle w:val="ListParagraph"/>
        <w:numPr>
          <w:ilvl w:val="0"/>
          <w:numId w:val="13"/>
        </w:numPr>
        <w:spacing w:line="360" w:lineRule="auto"/>
        <w:ind w:left="360"/>
        <w:rPr>
          <w:rFonts w:ascii="Times New Roman" w:hAnsi="Times New Roman" w:cs="Times New Roman"/>
          <w:b/>
          <w:bCs/>
          <w:sz w:val="24"/>
          <w:szCs w:val="24"/>
        </w:rPr>
      </w:pPr>
      <w:r w:rsidRPr="00AD212C">
        <w:rPr>
          <w:rFonts w:ascii="Times New Roman" w:hAnsi="Times New Roman" w:cs="Times New Roman"/>
          <w:b/>
          <w:bCs/>
          <w:sz w:val="24"/>
          <w:szCs w:val="24"/>
        </w:rPr>
        <w:t xml:space="preserve">Tujuan </w:t>
      </w:r>
      <w:proofErr w:type="spellStart"/>
      <w:r w:rsidRPr="00AD212C">
        <w:rPr>
          <w:rFonts w:ascii="Times New Roman" w:hAnsi="Times New Roman" w:cs="Times New Roman"/>
          <w:b/>
          <w:bCs/>
          <w:sz w:val="24"/>
          <w:szCs w:val="24"/>
        </w:rPr>
        <w:t>Penelitian</w:t>
      </w:r>
      <w:proofErr w:type="spellEnd"/>
      <w:r w:rsidRPr="00AD212C">
        <w:rPr>
          <w:rFonts w:ascii="Times New Roman" w:hAnsi="Times New Roman" w:cs="Times New Roman"/>
          <w:b/>
          <w:bCs/>
          <w:sz w:val="24"/>
          <w:szCs w:val="24"/>
        </w:rPr>
        <w:t xml:space="preserve"> </w:t>
      </w:r>
    </w:p>
    <w:p w14:paraId="3FC27435" w14:textId="77777777" w:rsidR="00D30FD3" w:rsidRPr="00AD212C" w:rsidRDefault="00D30FD3" w:rsidP="00D30FD3">
      <w:pPr>
        <w:pStyle w:val="ListParagraph"/>
        <w:spacing w:line="360" w:lineRule="auto"/>
        <w:ind w:left="360"/>
        <w:rPr>
          <w:rFonts w:ascii="Times New Roman" w:hAnsi="Times New Roman" w:cs="Times New Roman"/>
          <w:sz w:val="24"/>
          <w:szCs w:val="24"/>
        </w:rPr>
      </w:pP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ini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w:t>
      </w:r>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AD212C">
        <w:rPr>
          <w:rFonts w:ascii="Times New Roman" w:hAnsi="Times New Roman" w:cs="Times New Roman"/>
          <w:sz w:val="24"/>
          <w:szCs w:val="24"/>
        </w:rPr>
        <w:t>:</w:t>
      </w:r>
    </w:p>
    <w:p w14:paraId="21F0FE61" w14:textId="77777777" w:rsidR="00D30FD3" w:rsidRPr="00AD212C" w:rsidRDefault="00D30FD3" w:rsidP="00D30FD3">
      <w:pPr>
        <w:pStyle w:val="ListParagraph"/>
        <w:numPr>
          <w:ilvl w:val="0"/>
          <w:numId w:val="16"/>
        </w:numPr>
        <w:spacing w:line="360" w:lineRule="auto"/>
        <w:ind w:left="720"/>
        <w:rPr>
          <w:rFonts w:ascii="Times New Roman" w:hAnsi="Times New Roman" w:cs="Times New Roman"/>
          <w:sz w:val="24"/>
          <w:szCs w:val="24"/>
        </w:rPr>
      </w:pPr>
      <w:r>
        <w:rPr>
          <w:rFonts w:ascii="Times New Roman" w:hAnsi="Times New Roman" w:cs="Times New Roman"/>
          <w:sz w:val="24"/>
          <w:szCs w:val="24"/>
        </w:rPr>
        <w:t>Guna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w:t>
      </w:r>
      <w:r>
        <w:rPr>
          <w:rFonts w:ascii="Times New Roman" w:hAnsi="Times New Roman" w:cs="Times New Roman"/>
          <w:sz w:val="24"/>
          <w:szCs w:val="24"/>
        </w:rPr>
        <w:t>lihat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AD212C">
        <w:rPr>
          <w:rFonts w:ascii="Times New Roman" w:hAnsi="Times New Roman" w:cs="Times New Roman"/>
          <w:sz w:val="24"/>
          <w:szCs w:val="24"/>
        </w:rPr>
        <w:t xml:space="preserve"> </w:t>
      </w:r>
      <w:r w:rsidRPr="00AD212C">
        <w:rPr>
          <w:rFonts w:ascii="Times New Roman" w:hAnsi="Times New Roman" w:cs="Times New Roman"/>
          <w:i/>
          <w:iCs/>
          <w:sz w:val="24"/>
          <w:szCs w:val="24"/>
        </w:rPr>
        <w:t>Earning Per Share (EPS)</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terhadap</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355BA302" w14:textId="77777777" w:rsidR="00D30FD3" w:rsidRPr="00AD212C" w:rsidRDefault="00D30FD3" w:rsidP="00D30FD3">
      <w:pPr>
        <w:pStyle w:val="ListParagraph"/>
        <w:numPr>
          <w:ilvl w:val="0"/>
          <w:numId w:val="16"/>
        </w:numPr>
        <w:spacing w:line="360" w:lineRule="auto"/>
        <w:ind w:left="720"/>
        <w:rPr>
          <w:rFonts w:ascii="Times New Roman" w:hAnsi="Times New Roman" w:cs="Times New Roman"/>
          <w:sz w:val="24"/>
          <w:szCs w:val="24"/>
        </w:rPr>
      </w:pPr>
      <w:r>
        <w:rPr>
          <w:rFonts w:ascii="Times New Roman" w:hAnsi="Times New Roman" w:cs="Times New Roman"/>
          <w:sz w:val="24"/>
          <w:szCs w:val="24"/>
        </w:rPr>
        <w:t>Guna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w:t>
      </w:r>
      <w:r>
        <w:rPr>
          <w:rFonts w:ascii="Times New Roman" w:hAnsi="Times New Roman" w:cs="Times New Roman"/>
          <w:sz w:val="24"/>
          <w:szCs w:val="24"/>
        </w:rPr>
        <w:t>lihat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pengaruh</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AD212C">
        <w:rPr>
          <w:rFonts w:ascii="Times New Roman" w:hAnsi="Times New Roman" w:cs="Times New Roman"/>
          <w:i/>
          <w:iCs/>
          <w:sz w:val="24"/>
          <w:szCs w:val="24"/>
        </w:rPr>
        <w:t>Current Ratio (CR)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terhadap</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1789606A" w14:textId="77777777" w:rsidR="00D30FD3" w:rsidRPr="00AD212C" w:rsidRDefault="00D30FD3" w:rsidP="00D30FD3">
      <w:pPr>
        <w:pStyle w:val="ListParagraph"/>
        <w:numPr>
          <w:ilvl w:val="0"/>
          <w:numId w:val="16"/>
        </w:numPr>
        <w:spacing w:line="360" w:lineRule="auto"/>
        <w:ind w:left="720"/>
        <w:rPr>
          <w:rFonts w:ascii="Times New Roman" w:hAnsi="Times New Roman" w:cs="Times New Roman"/>
          <w:sz w:val="24"/>
          <w:szCs w:val="24"/>
        </w:rPr>
      </w:pPr>
      <w:r>
        <w:rPr>
          <w:rFonts w:ascii="Times New Roman" w:hAnsi="Times New Roman" w:cs="Times New Roman"/>
          <w:sz w:val="24"/>
          <w:szCs w:val="24"/>
        </w:rPr>
        <w:t>Guna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w:t>
      </w:r>
      <w:r>
        <w:rPr>
          <w:rFonts w:ascii="Times New Roman" w:hAnsi="Times New Roman" w:cs="Times New Roman"/>
          <w:sz w:val="24"/>
          <w:szCs w:val="24"/>
        </w:rPr>
        <w:t>lihat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pengaruh</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AD212C">
        <w:rPr>
          <w:rFonts w:ascii="Times New Roman" w:hAnsi="Times New Roman" w:cs="Times New Roman"/>
          <w:i/>
          <w:iCs/>
          <w:sz w:val="24"/>
          <w:szCs w:val="24"/>
        </w:rPr>
        <w:t>Debt to Equity Ratio (DER)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terhadap</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p w14:paraId="0C449070" w14:textId="77777777" w:rsidR="00D30FD3" w:rsidRDefault="00D30FD3" w:rsidP="00D30FD3">
      <w:pPr>
        <w:pStyle w:val="ListParagraph"/>
        <w:numPr>
          <w:ilvl w:val="0"/>
          <w:numId w:val="16"/>
        </w:numPr>
        <w:spacing w:line="360" w:lineRule="auto"/>
        <w:ind w:left="720"/>
        <w:rPr>
          <w:rFonts w:ascii="Times New Roman" w:hAnsi="Times New Roman" w:cs="Times New Roman"/>
          <w:sz w:val="24"/>
          <w:szCs w:val="24"/>
        </w:rPr>
      </w:pPr>
      <w:bookmarkStart w:id="8" w:name="_Hlk179808768"/>
      <w:r>
        <w:rPr>
          <w:rFonts w:ascii="Times New Roman" w:hAnsi="Times New Roman" w:cs="Times New Roman"/>
          <w:sz w:val="24"/>
          <w:szCs w:val="24"/>
        </w:rPr>
        <w:t>Guna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w:t>
      </w:r>
      <w:r>
        <w:rPr>
          <w:rFonts w:ascii="Times New Roman" w:hAnsi="Times New Roman" w:cs="Times New Roman"/>
          <w:sz w:val="24"/>
          <w:szCs w:val="24"/>
        </w:rPr>
        <w:t>lihat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AD212C">
        <w:rPr>
          <w:rFonts w:ascii="Times New Roman" w:hAnsi="Times New Roman" w:cs="Times New Roman"/>
          <w:i/>
          <w:iCs/>
          <w:sz w:val="24"/>
          <w:szCs w:val="24"/>
        </w:rPr>
        <w:t xml:space="preserve"> Earning Per Share (EPS), Current Ratio (CR) </w:t>
      </w:r>
      <w:r w:rsidRPr="00AD212C">
        <w:rPr>
          <w:rFonts w:ascii="Times New Roman" w:hAnsi="Times New Roman" w:cs="Times New Roman"/>
          <w:sz w:val="24"/>
          <w:szCs w:val="24"/>
        </w:rPr>
        <w:t>dan</w:t>
      </w:r>
      <w:r w:rsidRPr="00AD212C">
        <w:rPr>
          <w:rFonts w:ascii="Times New Roman" w:hAnsi="Times New Roman" w:cs="Times New Roman"/>
          <w:i/>
          <w:iCs/>
          <w:sz w:val="24"/>
          <w:szCs w:val="24"/>
        </w:rPr>
        <w:t xml:space="preserve"> Debt to Equity Ratio (DER)</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secara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simultan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terhadap</w:t>
      </w:r>
      <w:proofErr w:type="spellEnd"/>
      <w:r w:rsidRPr="00AD212C">
        <w:rPr>
          <w:rFonts w:ascii="Times New Roman" w:hAnsi="Times New Roman" w:cs="Times New Roman"/>
          <w:sz w:val="24"/>
          <w:szCs w:val="24"/>
        </w:rPr>
        <w:t xml:space="preserve"> Harga Saham </w:t>
      </w:r>
      <w:proofErr w:type="spellStart"/>
      <w:r w:rsidRPr="00AD212C">
        <w:rPr>
          <w:rFonts w:ascii="Times New Roman" w:hAnsi="Times New Roman" w:cs="Times New Roman"/>
          <w:sz w:val="24"/>
          <w:szCs w:val="24"/>
        </w:rPr>
        <w:t>perusahaan</w:t>
      </w:r>
      <w:proofErr w:type="spellEnd"/>
      <w:r w:rsidRPr="00AD212C">
        <w:rPr>
          <w:rFonts w:ascii="Times New Roman" w:hAnsi="Times New Roman" w:cs="Times New Roman"/>
          <w:sz w:val="24"/>
          <w:szCs w:val="24"/>
        </w:rPr>
        <w:t xml:space="preserve"> Sub Sektor </w:t>
      </w:r>
      <w:proofErr w:type="spellStart"/>
      <w:r w:rsidRPr="00AD212C">
        <w:rPr>
          <w:rFonts w:ascii="Times New Roman" w:hAnsi="Times New Roman" w:cs="Times New Roman"/>
          <w:sz w:val="24"/>
          <w:szCs w:val="24"/>
        </w:rPr>
        <w:t>Konstruksi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tahun</w:t>
      </w:r>
      <w:proofErr w:type="spellEnd"/>
      <w:r w:rsidRPr="00AD212C">
        <w:rPr>
          <w:rFonts w:ascii="Times New Roman" w:hAnsi="Times New Roman" w:cs="Times New Roman"/>
          <w:sz w:val="24"/>
          <w:szCs w:val="24"/>
        </w:rPr>
        <w:t xml:space="preserve"> 2019-2023</w:t>
      </w:r>
    </w:p>
    <w:bookmarkEnd w:id="8"/>
    <w:p w14:paraId="3D65C891" w14:textId="77777777" w:rsidR="00D30FD3" w:rsidRPr="00AD212C" w:rsidRDefault="00D30FD3" w:rsidP="00D30FD3">
      <w:pPr>
        <w:pStyle w:val="ListParagraph"/>
        <w:spacing w:after="0" w:line="240" w:lineRule="auto"/>
        <w:rPr>
          <w:rFonts w:ascii="Times New Roman" w:hAnsi="Times New Roman" w:cs="Times New Roman"/>
          <w:sz w:val="24"/>
          <w:szCs w:val="24"/>
        </w:rPr>
      </w:pPr>
    </w:p>
    <w:p w14:paraId="04CC3F24" w14:textId="77777777" w:rsidR="00D30FD3" w:rsidRPr="00AD212C" w:rsidRDefault="00D30FD3" w:rsidP="00D30FD3">
      <w:pPr>
        <w:pStyle w:val="ListParagraph"/>
        <w:numPr>
          <w:ilvl w:val="0"/>
          <w:numId w:val="13"/>
        </w:numPr>
        <w:spacing w:line="360" w:lineRule="auto"/>
        <w:ind w:left="360"/>
        <w:rPr>
          <w:rFonts w:ascii="Times New Roman" w:hAnsi="Times New Roman" w:cs="Times New Roman"/>
          <w:b/>
          <w:bCs/>
          <w:sz w:val="24"/>
          <w:szCs w:val="24"/>
        </w:rPr>
      </w:pPr>
      <w:r w:rsidRPr="00AD212C">
        <w:rPr>
          <w:rFonts w:ascii="Times New Roman" w:hAnsi="Times New Roman" w:cs="Times New Roman"/>
          <w:b/>
          <w:bCs/>
          <w:sz w:val="24"/>
          <w:szCs w:val="24"/>
        </w:rPr>
        <w:t xml:space="preserve">Manfaat </w:t>
      </w:r>
      <w:proofErr w:type="spellStart"/>
      <w:r w:rsidRPr="00AD212C">
        <w:rPr>
          <w:rFonts w:ascii="Times New Roman" w:hAnsi="Times New Roman" w:cs="Times New Roman"/>
          <w:b/>
          <w:bCs/>
          <w:sz w:val="24"/>
          <w:szCs w:val="24"/>
        </w:rPr>
        <w:t>Penelitian</w:t>
      </w:r>
      <w:proofErr w:type="spellEnd"/>
    </w:p>
    <w:p w14:paraId="2A9F011A" w14:textId="77777777" w:rsidR="00D30FD3" w:rsidRPr="00DE114B" w:rsidRDefault="00D30FD3" w:rsidP="00D30FD3">
      <w:pPr>
        <w:pStyle w:val="ListParagraph"/>
        <w:spacing w:line="360" w:lineRule="auto"/>
        <w:ind w:left="360"/>
        <w:rPr>
          <w:rFonts w:ascii="Times New Roman" w:hAnsi="Times New Roman" w:cs="Times New Roman"/>
          <w:sz w:val="24"/>
          <w:szCs w:val="24"/>
        </w:rPr>
      </w:pP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ini bisa</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memberi</w:t>
      </w:r>
      <w:r>
        <w:rPr>
          <w:rFonts w:ascii="Times New Roman" w:hAnsi="Times New Roman" w:cs="Times New Roman"/>
          <w:sz w:val="24"/>
          <w:szCs w:val="24"/>
        </w:rPr>
        <w:t>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manfaat</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di</w:t>
      </w:r>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beberapa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aspek</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sebagai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berikut</w:t>
      </w:r>
      <w:proofErr w:type="spellEnd"/>
      <w:r w:rsidRPr="00AD212C">
        <w:rPr>
          <w:rFonts w:ascii="Times New Roman" w:hAnsi="Times New Roman" w:cs="Times New Roman"/>
          <w:sz w:val="24"/>
          <w:szCs w:val="24"/>
        </w:rPr>
        <w:t>.</w:t>
      </w:r>
    </w:p>
    <w:p w14:paraId="30F9FEB0" w14:textId="77777777" w:rsidR="00D30FD3" w:rsidRPr="00AD212C" w:rsidRDefault="00D30FD3" w:rsidP="00D30FD3">
      <w:pPr>
        <w:pStyle w:val="ListParagraph"/>
        <w:numPr>
          <w:ilvl w:val="1"/>
          <w:numId w:val="19"/>
        </w:numPr>
        <w:spacing w:line="360" w:lineRule="auto"/>
        <w:ind w:left="1080" w:hanging="720"/>
        <w:rPr>
          <w:rFonts w:ascii="Times New Roman" w:hAnsi="Times New Roman" w:cs="Times New Roman"/>
          <w:sz w:val="24"/>
          <w:szCs w:val="24"/>
        </w:rPr>
      </w:pPr>
      <w:r w:rsidRPr="00AD212C">
        <w:rPr>
          <w:rFonts w:ascii="Times New Roman" w:hAnsi="Times New Roman" w:cs="Times New Roman"/>
          <w:sz w:val="24"/>
          <w:szCs w:val="24"/>
        </w:rPr>
        <w:t xml:space="preserve">Manfaat </w:t>
      </w:r>
      <w:proofErr w:type="spellStart"/>
      <w:r w:rsidRPr="00AD212C">
        <w:rPr>
          <w:rFonts w:ascii="Times New Roman" w:hAnsi="Times New Roman" w:cs="Times New Roman"/>
          <w:sz w:val="24"/>
          <w:szCs w:val="24"/>
        </w:rPr>
        <w:t>Teoritis</w:t>
      </w:r>
      <w:proofErr w:type="spellEnd"/>
      <w:r w:rsidRPr="00AD212C">
        <w:rPr>
          <w:rFonts w:ascii="Times New Roman" w:hAnsi="Times New Roman" w:cs="Times New Roman"/>
          <w:sz w:val="24"/>
          <w:szCs w:val="24"/>
        </w:rPr>
        <w:t xml:space="preserve"> </w:t>
      </w:r>
    </w:p>
    <w:p w14:paraId="01AC8147" w14:textId="77777777" w:rsidR="00D30FD3" w:rsidRPr="00AD212C" w:rsidRDefault="00D30FD3" w:rsidP="00D30FD3">
      <w:pPr>
        <w:pStyle w:val="ListParagraph"/>
        <w:numPr>
          <w:ilvl w:val="0"/>
          <w:numId w:val="17"/>
        </w:numPr>
        <w:spacing w:line="360" w:lineRule="auto"/>
        <w:ind w:left="1440"/>
        <w:rPr>
          <w:rFonts w:ascii="Times New Roman" w:hAnsi="Times New Roman" w:cs="Times New Roman"/>
          <w:sz w:val="24"/>
          <w:szCs w:val="24"/>
        </w:rPr>
      </w:pPr>
      <w:proofErr w:type="spellStart"/>
      <w:r>
        <w:rPr>
          <w:rFonts w:ascii="Times New Roman" w:hAnsi="Times New Roman" w:cs="Times New Roman"/>
          <w:sz w:val="24"/>
          <w:szCs w:val="24"/>
        </w:rPr>
        <w:t>bertambahnya</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harga</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saham</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dapat</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dijadikan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rujukan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selanjutnya</w:t>
      </w:r>
      <w:proofErr w:type="spellEnd"/>
      <w:r w:rsidRPr="00AD212C">
        <w:rPr>
          <w:rFonts w:ascii="Times New Roman" w:hAnsi="Times New Roman" w:cs="Times New Roman"/>
          <w:sz w:val="24"/>
          <w:szCs w:val="24"/>
        </w:rPr>
        <w:t xml:space="preserve"> </w:t>
      </w:r>
    </w:p>
    <w:p w14:paraId="51E84461" w14:textId="77777777" w:rsidR="00D30FD3" w:rsidRPr="006459B5" w:rsidRDefault="00D30FD3" w:rsidP="00D30FD3">
      <w:pPr>
        <w:pStyle w:val="ListParagraph"/>
        <w:numPr>
          <w:ilvl w:val="0"/>
          <w:numId w:val="17"/>
        </w:numPr>
        <w:spacing w:line="360" w:lineRule="auto"/>
        <w:ind w:left="1440"/>
        <w:rPr>
          <w:rFonts w:ascii="Times New Roman" w:hAnsi="Times New Roman" w:cs="Times New Roman"/>
          <w:sz w:val="24"/>
          <w:szCs w:val="24"/>
        </w:rPr>
      </w:pPr>
      <w:proofErr w:type="spellStart"/>
      <w:r w:rsidRPr="00AD212C">
        <w:rPr>
          <w:rFonts w:ascii="Times New Roman" w:hAnsi="Times New Roman" w:cs="Times New Roman"/>
          <w:sz w:val="24"/>
          <w:szCs w:val="24"/>
        </w:rPr>
        <w:t>Menambah</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informasi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bagi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pembaca</w:t>
      </w:r>
      <w:proofErr w:type="spellEnd"/>
      <w:r w:rsidRPr="00AD212C">
        <w:rPr>
          <w:rFonts w:ascii="Times New Roman" w:hAnsi="Times New Roman" w:cs="Times New Roman"/>
          <w:sz w:val="24"/>
          <w:szCs w:val="24"/>
        </w:rPr>
        <w:t xml:space="preserve"> yang </w:t>
      </w:r>
      <w:proofErr w:type="spellStart"/>
      <w:r w:rsidRPr="00AD212C">
        <w:rPr>
          <w:rFonts w:ascii="Times New Roman" w:hAnsi="Times New Roman" w:cs="Times New Roman"/>
          <w:sz w:val="24"/>
          <w:szCs w:val="24"/>
        </w:rPr>
        <w:t>berkepentingan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sebagai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pembanding</w:t>
      </w:r>
      <w:proofErr w:type="spellEnd"/>
      <w:r w:rsidRPr="00AD212C">
        <w:rPr>
          <w:rFonts w:ascii="Times New Roman" w:hAnsi="Times New Roman" w:cs="Times New Roman"/>
          <w:sz w:val="24"/>
          <w:szCs w:val="24"/>
        </w:rPr>
        <w:t xml:space="preserve"> dan </w:t>
      </w:r>
      <w:proofErr w:type="spellStart"/>
      <w:r w:rsidRPr="00AD212C">
        <w:rPr>
          <w:rFonts w:ascii="Times New Roman" w:hAnsi="Times New Roman" w:cs="Times New Roman"/>
          <w:sz w:val="24"/>
          <w:szCs w:val="24"/>
        </w:rPr>
        <w:t>referensi</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penelitian</w:t>
      </w:r>
      <w:proofErr w:type="spellEnd"/>
      <w:r w:rsidRPr="00AD212C">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w:t>
      </w:r>
      <w:r w:rsidRPr="00AD212C">
        <w:rPr>
          <w:rFonts w:ascii="Times New Roman" w:hAnsi="Times New Roman" w:cs="Times New Roman"/>
          <w:sz w:val="24"/>
          <w:szCs w:val="24"/>
        </w:rPr>
        <w:t xml:space="preserve"> </w:t>
      </w:r>
    </w:p>
    <w:p w14:paraId="569410EF" w14:textId="77777777" w:rsidR="00D30FD3" w:rsidRPr="00AD212C" w:rsidRDefault="00D30FD3" w:rsidP="00D30FD3">
      <w:pPr>
        <w:pStyle w:val="ListParagraph"/>
        <w:numPr>
          <w:ilvl w:val="1"/>
          <w:numId w:val="19"/>
        </w:numPr>
        <w:spacing w:line="360" w:lineRule="auto"/>
        <w:ind w:left="1080" w:hanging="720"/>
        <w:rPr>
          <w:rFonts w:ascii="Times New Roman" w:hAnsi="Times New Roman" w:cs="Times New Roman"/>
          <w:sz w:val="24"/>
          <w:szCs w:val="24"/>
        </w:rPr>
      </w:pPr>
      <w:r w:rsidRPr="00AD212C">
        <w:rPr>
          <w:rFonts w:ascii="Times New Roman" w:hAnsi="Times New Roman" w:cs="Times New Roman"/>
          <w:sz w:val="24"/>
          <w:szCs w:val="24"/>
        </w:rPr>
        <w:lastRenderedPageBreak/>
        <w:t xml:space="preserve">Manfaat </w:t>
      </w:r>
      <w:proofErr w:type="spellStart"/>
      <w:r w:rsidRPr="00AD212C">
        <w:rPr>
          <w:rFonts w:ascii="Times New Roman" w:hAnsi="Times New Roman" w:cs="Times New Roman"/>
          <w:sz w:val="24"/>
          <w:szCs w:val="24"/>
        </w:rPr>
        <w:t>Praktis</w:t>
      </w:r>
      <w:proofErr w:type="spellEnd"/>
      <w:r w:rsidRPr="00AD212C">
        <w:rPr>
          <w:rFonts w:ascii="Times New Roman" w:hAnsi="Times New Roman" w:cs="Times New Roman"/>
          <w:sz w:val="24"/>
          <w:szCs w:val="24"/>
        </w:rPr>
        <w:t xml:space="preserve"> </w:t>
      </w:r>
    </w:p>
    <w:p w14:paraId="095A8D8D" w14:textId="77777777" w:rsidR="00D30FD3" w:rsidRDefault="00D30FD3" w:rsidP="00D30FD3">
      <w:pPr>
        <w:pStyle w:val="ListParagraph"/>
        <w:numPr>
          <w:ilvl w:val="0"/>
          <w:numId w:val="18"/>
        </w:numPr>
        <w:spacing w:line="360" w:lineRule="auto"/>
        <w:ind w:left="1440"/>
        <w:rPr>
          <w:rFonts w:ascii="Times New Roman" w:hAnsi="Times New Roman" w:cs="Times New Roman"/>
          <w:sz w:val="24"/>
          <w:szCs w:val="24"/>
        </w:rPr>
      </w:pPr>
      <w:proofErr w:type="spellStart"/>
      <w:r w:rsidRPr="00AD212C">
        <w:rPr>
          <w:rFonts w:ascii="Times New Roman" w:hAnsi="Times New Roman" w:cs="Times New Roman"/>
          <w:sz w:val="24"/>
          <w:szCs w:val="24"/>
        </w:rPr>
        <w:t>Merupakan</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sumbang</w:t>
      </w:r>
      <w:proofErr w:type="spellEnd"/>
      <w:r w:rsidRPr="00AD212C">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pemikiran</w:t>
      </w:r>
      <w:proofErr w:type="spellEnd"/>
      <w:r w:rsidRPr="00AD212C">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sidRPr="00AD212C">
        <w:rPr>
          <w:rFonts w:ascii="Times New Roman" w:hAnsi="Times New Roman" w:cs="Times New Roman"/>
          <w:sz w:val="24"/>
          <w:szCs w:val="24"/>
        </w:rPr>
        <w:t>bagi</w:t>
      </w:r>
      <w:proofErr w:type="spellEnd"/>
      <w:r w:rsidRPr="00AD212C">
        <w:rPr>
          <w:rFonts w:ascii="Times New Roman" w:hAnsi="Times New Roman" w:cs="Times New Roman"/>
          <w:sz w:val="24"/>
          <w:szCs w:val="24"/>
        </w:rPr>
        <w:t xml:space="preserve"> para investor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
    <w:p w14:paraId="71F4FCD6" w14:textId="77777777" w:rsidR="00D30FD3" w:rsidRPr="000C73D8" w:rsidRDefault="00D30FD3" w:rsidP="00D30FD3">
      <w:pPr>
        <w:pStyle w:val="ListParagraph"/>
        <w:numPr>
          <w:ilvl w:val="0"/>
          <w:numId w:val="18"/>
        </w:numPr>
        <w:spacing w:line="360" w:lineRule="auto"/>
        <w:ind w:left="1440"/>
        <w:rPr>
          <w:rFonts w:ascii="Times New Roman" w:hAnsi="Times New Roman" w:cs="Times New Roman"/>
          <w:sz w:val="24"/>
          <w:szCs w:val="24"/>
        </w:rPr>
        <w:sectPr w:rsidR="00D30FD3" w:rsidRPr="000C73D8" w:rsidSect="00D30FD3">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20" w:footer="720" w:gutter="0"/>
          <w:pgNumType w:start="1"/>
          <w:cols w:space="720"/>
          <w:titlePg/>
          <w:docGrid w:linePitch="360"/>
        </w:sectPr>
      </w:pPr>
      <w:proofErr w:type="spellStart"/>
      <w:r w:rsidRPr="000C73D8">
        <w:rPr>
          <w:rFonts w:ascii="Times New Roman" w:hAnsi="Times New Roman" w:cs="Times New Roman"/>
          <w:sz w:val="24"/>
          <w:szCs w:val="24"/>
        </w:rPr>
        <w:t>Diharapkan</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penelitian</w:t>
      </w:r>
      <w:proofErr w:type="spellEnd"/>
      <w:r w:rsidRPr="000C73D8">
        <w:rPr>
          <w:rFonts w:ascii="Times New Roman" w:hAnsi="Times New Roman" w:cs="Times New Roman"/>
          <w:sz w:val="24"/>
          <w:szCs w:val="24"/>
        </w:rPr>
        <w:t xml:space="preserve"> ini </w:t>
      </w:r>
      <w:proofErr w:type="spellStart"/>
      <w:r w:rsidRPr="000C73D8">
        <w:rPr>
          <w:rFonts w:ascii="Times New Roman" w:hAnsi="Times New Roman" w:cs="Times New Roman"/>
          <w:sz w:val="24"/>
          <w:szCs w:val="24"/>
        </w:rPr>
        <w:t>berguna</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sebagai</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acuan</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penelitian</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selanjutnya</w:t>
      </w:r>
      <w:proofErr w:type="spellEnd"/>
      <w:r w:rsidRPr="000C73D8">
        <w:rPr>
          <w:rFonts w:ascii="Times New Roman" w:hAnsi="Times New Roman" w:cs="Times New Roman"/>
          <w:sz w:val="24"/>
          <w:szCs w:val="24"/>
        </w:rPr>
        <w:t xml:space="preserve"> untuk </w:t>
      </w:r>
      <w:proofErr w:type="spellStart"/>
      <w:r w:rsidRPr="000C73D8">
        <w:rPr>
          <w:rFonts w:ascii="Times New Roman" w:hAnsi="Times New Roman" w:cs="Times New Roman"/>
          <w:sz w:val="24"/>
          <w:szCs w:val="24"/>
        </w:rPr>
        <w:t>memperkuat</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temuan</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penelitian</w:t>
      </w:r>
      <w:proofErr w:type="spellEnd"/>
      <w:r w:rsidRPr="000C73D8">
        <w:rPr>
          <w:rFonts w:ascii="Times New Roman" w:hAnsi="Times New Roman" w:cs="Times New Roman"/>
          <w:sz w:val="24"/>
          <w:szCs w:val="24"/>
        </w:rPr>
        <w:t xml:space="preserve"> </w:t>
      </w:r>
      <w:proofErr w:type="spellStart"/>
      <w:r w:rsidRPr="000C73D8">
        <w:rPr>
          <w:rFonts w:ascii="Times New Roman" w:hAnsi="Times New Roman" w:cs="Times New Roman"/>
          <w:sz w:val="24"/>
          <w:szCs w:val="24"/>
        </w:rPr>
        <w:t>sebelumnya</w:t>
      </w:r>
      <w:proofErr w:type="spellEnd"/>
    </w:p>
    <w:p w14:paraId="5E949ACC" w14:textId="77777777" w:rsidR="00D30FD3" w:rsidRPr="00AD212C" w:rsidRDefault="00D30FD3" w:rsidP="00D30FD3">
      <w:pPr>
        <w:spacing w:after="0" w:line="360" w:lineRule="auto"/>
        <w:jc w:val="center"/>
        <w:rPr>
          <w:rFonts w:ascii="Times New Roman" w:hAnsi="Times New Roman" w:cs="Times New Roman"/>
          <w:b/>
          <w:bCs/>
          <w:sz w:val="24"/>
          <w:szCs w:val="24"/>
        </w:rPr>
        <w:sectPr w:rsidR="00D30FD3" w:rsidRPr="00AD212C" w:rsidSect="00D30FD3">
          <w:type w:val="continuous"/>
          <w:pgSz w:w="11906" w:h="16838" w:code="9"/>
          <w:pgMar w:top="2268" w:right="1701" w:bottom="1701" w:left="2268" w:header="720" w:footer="720" w:gutter="0"/>
          <w:cols w:space="720"/>
          <w:titlePg/>
          <w:docGrid w:linePitch="360"/>
        </w:sectPr>
      </w:pPr>
    </w:p>
    <w:p w14:paraId="23EAD781" w14:textId="2D7A5FED" w:rsidR="00362485" w:rsidRPr="00D30FD3" w:rsidRDefault="00362485" w:rsidP="00D30FD3"/>
    <w:sectPr w:rsidR="00362485" w:rsidRPr="00D30FD3" w:rsidSect="00680DDE">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3032" w14:textId="77777777" w:rsidR="00ED64FA" w:rsidRDefault="00ED64FA">
      <w:pPr>
        <w:spacing w:after="0" w:line="240" w:lineRule="auto"/>
      </w:pPr>
      <w:r>
        <w:separator/>
      </w:r>
    </w:p>
  </w:endnote>
  <w:endnote w:type="continuationSeparator" w:id="0">
    <w:p w14:paraId="54D395BF" w14:textId="77777777" w:rsidR="00ED64FA" w:rsidRDefault="00ED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8E0D" w14:textId="77777777" w:rsidR="005F572B" w:rsidRDefault="005F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D300" w14:textId="77777777" w:rsidR="00D30FD3" w:rsidRDefault="00D30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308499"/>
      <w:docPartObj>
        <w:docPartGallery w:val="Page Numbers (Bottom of Page)"/>
        <w:docPartUnique/>
      </w:docPartObj>
    </w:sdtPr>
    <w:sdtEndPr>
      <w:rPr>
        <w:noProof/>
      </w:rPr>
    </w:sdtEndPr>
    <w:sdtContent>
      <w:p w14:paraId="109DC8C8" w14:textId="77777777" w:rsidR="00D30FD3" w:rsidRDefault="00D30F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2C47C6" w14:textId="77777777" w:rsidR="00D30FD3" w:rsidRDefault="00D30FD3" w:rsidP="00AC4070">
    <w:pPr>
      <w:pStyle w:val="Footer"/>
      <w:tabs>
        <w:tab w:val="clear" w:pos="4680"/>
        <w:tab w:val="clear" w:pos="9360"/>
        <w:tab w:val="left" w:pos="53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A980" w14:textId="77777777" w:rsidR="00ED64FA" w:rsidRDefault="00ED64FA">
      <w:pPr>
        <w:spacing w:after="0" w:line="240" w:lineRule="auto"/>
      </w:pPr>
      <w:r>
        <w:separator/>
      </w:r>
    </w:p>
  </w:footnote>
  <w:footnote w:type="continuationSeparator" w:id="0">
    <w:p w14:paraId="04352261" w14:textId="77777777" w:rsidR="00ED64FA" w:rsidRDefault="00ED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849C" w14:textId="0F15475F" w:rsidR="005F572B" w:rsidRDefault="005F572B">
    <w:pPr>
      <w:pStyle w:val="Header"/>
    </w:pPr>
    <w:r>
      <w:rPr>
        <w:noProof/>
        <w14:ligatures w14:val="standardContextual"/>
      </w:rPr>
      <w:pict w14:anchorId="3E5FC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81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513784"/>
      <w:docPartObj>
        <w:docPartGallery w:val="Page Numbers (Top of Page)"/>
        <w:docPartUnique/>
      </w:docPartObj>
    </w:sdtPr>
    <w:sdtEndPr>
      <w:rPr>
        <w:noProof/>
      </w:rPr>
    </w:sdtEndPr>
    <w:sdtContent>
      <w:p w14:paraId="7869462B" w14:textId="7AD73F18" w:rsidR="00D30FD3" w:rsidRDefault="005F572B">
        <w:pPr>
          <w:pStyle w:val="Header"/>
          <w:jc w:val="right"/>
        </w:pPr>
        <w:r>
          <w:rPr>
            <w:noProof/>
            <w14:ligatures w14:val="standardContextual"/>
          </w:rPr>
          <w:pict w14:anchorId="2E9C7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8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D30FD3">
          <w:fldChar w:fldCharType="begin"/>
        </w:r>
        <w:r w:rsidR="00D30FD3">
          <w:instrText xml:space="preserve"> PAGE   \* MERGEFORMAT </w:instrText>
        </w:r>
        <w:r w:rsidR="00D30FD3">
          <w:fldChar w:fldCharType="separate"/>
        </w:r>
        <w:r w:rsidR="00D30FD3">
          <w:rPr>
            <w:noProof/>
          </w:rPr>
          <w:t>2</w:t>
        </w:r>
        <w:r w:rsidR="00D30FD3">
          <w:rPr>
            <w:noProof/>
          </w:rPr>
          <w:fldChar w:fldCharType="end"/>
        </w:r>
      </w:p>
    </w:sdtContent>
  </w:sdt>
  <w:p w14:paraId="79B5CF1C" w14:textId="77777777" w:rsidR="00D30FD3" w:rsidRDefault="00D30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BD90" w14:textId="5D5DBCF2" w:rsidR="00D30FD3" w:rsidRDefault="005F572B">
    <w:pPr>
      <w:pStyle w:val="Header"/>
    </w:pPr>
    <w:r>
      <w:rPr>
        <w:noProof/>
        <w14:ligatures w14:val="standardContextual"/>
      </w:rPr>
      <w:pict w14:anchorId="70267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81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2B"/>
    <w:multiLevelType w:val="hybridMultilevel"/>
    <w:tmpl w:val="CAF49A98"/>
    <w:lvl w:ilvl="0" w:tplc="35E881D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6A6C45"/>
    <w:multiLevelType w:val="hybridMultilevel"/>
    <w:tmpl w:val="C2D2A660"/>
    <w:lvl w:ilvl="0" w:tplc="2E280596">
      <w:start w:val="1"/>
      <w:numFmt w:val="decimal"/>
      <w:lvlText w:val="3.6.%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1E84BAB"/>
    <w:multiLevelType w:val="hybridMultilevel"/>
    <w:tmpl w:val="43569CB4"/>
    <w:lvl w:ilvl="0" w:tplc="CBC4D9E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37E7D"/>
    <w:multiLevelType w:val="hybridMultilevel"/>
    <w:tmpl w:val="0EFACA8C"/>
    <w:lvl w:ilvl="0" w:tplc="DCF672AC">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43E"/>
    <w:multiLevelType w:val="hybridMultilevel"/>
    <w:tmpl w:val="BB285D70"/>
    <w:lvl w:ilvl="0" w:tplc="904089C6">
      <w:start w:val="1"/>
      <w:numFmt w:val="decimal"/>
      <w:lvlText w:val="2.1.%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1BD87498"/>
    <w:multiLevelType w:val="hybridMultilevel"/>
    <w:tmpl w:val="25F6B9F6"/>
    <w:lvl w:ilvl="0" w:tplc="227694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2548"/>
    <w:multiLevelType w:val="hybridMultilevel"/>
    <w:tmpl w:val="FDE25112"/>
    <w:lvl w:ilvl="0" w:tplc="C06C973E">
      <w:start w:val="1"/>
      <w:numFmt w:val="decimal"/>
      <w:lvlText w:val="1.5.%1."/>
      <w:lvlJc w:val="left"/>
      <w:pPr>
        <w:ind w:left="1440" w:hanging="360"/>
      </w:pPr>
      <w:rPr>
        <w:rFonts w:hint="default"/>
      </w:rPr>
    </w:lvl>
    <w:lvl w:ilvl="1" w:tplc="D1E247DC">
      <w:start w:val="1"/>
      <w:numFmt w:val="decimal"/>
      <w:lvlText w:val="1.5.%2"/>
      <w:lvlJc w:val="left"/>
      <w:pPr>
        <w:ind w:left="720" w:hanging="360"/>
      </w:pPr>
      <w:rPr>
        <w:rFonts w:hint="default"/>
      </w:rPr>
    </w:lvl>
    <w:lvl w:ilvl="2" w:tplc="0409000F">
      <w:start w:val="1"/>
      <w:numFmt w:val="decimal"/>
      <w:lvlText w:val="%3."/>
      <w:lvlJc w:val="left"/>
      <w:pPr>
        <w:ind w:left="2340" w:hanging="360"/>
      </w:pPr>
      <w:rPr>
        <w:rFonts w:hint="default"/>
      </w:rPr>
    </w:lvl>
    <w:lvl w:ilvl="3" w:tplc="EF0C5924">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034BF"/>
    <w:multiLevelType w:val="hybridMultilevel"/>
    <w:tmpl w:val="865E6AD8"/>
    <w:lvl w:ilvl="0" w:tplc="DF94C65A">
      <w:start w:val="1"/>
      <w:numFmt w:val="decimal"/>
      <w:lvlText w:val="3.3.%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2A310AC"/>
    <w:multiLevelType w:val="hybridMultilevel"/>
    <w:tmpl w:val="A8BCC816"/>
    <w:lvl w:ilvl="0" w:tplc="30B27774">
      <w:start w:val="1"/>
      <w:numFmt w:val="decimal"/>
      <w:lvlText w:val="4.%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4F3C6A9E"/>
    <w:multiLevelType w:val="hybridMultilevel"/>
    <w:tmpl w:val="7E201222"/>
    <w:lvl w:ilvl="0" w:tplc="28A218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492205F"/>
    <w:multiLevelType w:val="hybridMultilevel"/>
    <w:tmpl w:val="0A825CA6"/>
    <w:lvl w:ilvl="0" w:tplc="63284CE2">
      <w:start w:val="1"/>
      <w:numFmt w:val="decimal"/>
      <w:lvlText w:val="5.%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55BF37C3"/>
    <w:multiLevelType w:val="hybridMultilevel"/>
    <w:tmpl w:val="E5102860"/>
    <w:lvl w:ilvl="0" w:tplc="D1E247DC">
      <w:start w:val="1"/>
      <w:numFmt w:val="decimal"/>
      <w:lvlText w:val="1.5.%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B163701"/>
    <w:multiLevelType w:val="hybridMultilevel"/>
    <w:tmpl w:val="BF26AA70"/>
    <w:lvl w:ilvl="0" w:tplc="61CAFC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3F56B05"/>
    <w:multiLevelType w:val="hybridMultilevel"/>
    <w:tmpl w:val="55DEA4F6"/>
    <w:lvl w:ilvl="0" w:tplc="58621A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8CF25DA"/>
    <w:multiLevelType w:val="hybridMultilevel"/>
    <w:tmpl w:val="AA9A8410"/>
    <w:lvl w:ilvl="0" w:tplc="1B6A271A">
      <w:start w:val="1"/>
      <w:numFmt w:val="decimal"/>
      <w:lvlText w:val="3.7.%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6B0321D8"/>
    <w:multiLevelType w:val="hybridMultilevel"/>
    <w:tmpl w:val="C902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E7827"/>
    <w:multiLevelType w:val="hybridMultilevel"/>
    <w:tmpl w:val="09D207BE"/>
    <w:lvl w:ilvl="0" w:tplc="D7CC5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31D4F"/>
    <w:multiLevelType w:val="hybridMultilevel"/>
    <w:tmpl w:val="2EC6A7F4"/>
    <w:lvl w:ilvl="0" w:tplc="751E598E">
      <w:start w:val="1"/>
      <w:numFmt w:val="decimal"/>
      <w:lvlText w:val="3.2.%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A794676"/>
    <w:multiLevelType w:val="hybridMultilevel"/>
    <w:tmpl w:val="5848133C"/>
    <w:lvl w:ilvl="0" w:tplc="F87442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49122838">
    <w:abstractNumId w:val="5"/>
  </w:num>
  <w:num w:numId="2" w16cid:durableId="217282691">
    <w:abstractNumId w:val="16"/>
  </w:num>
  <w:num w:numId="3" w16cid:durableId="1469518624">
    <w:abstractNumId w:val="2"/>
  </w:num>
  <w:num w:numId="4" w16cid:durableId="1163742616">
    <w:abstractNumId w:val="4"/>
  </w:num>
  <w:num w:numId="5" w16cid:durableId="1978147050">
    <w:abstractNumId w:val="17"/>
  </w:num>
  <w:num w:numId="6" w16cid:durableId="1013646509">
    <w:abstractNumId w:val="7"/>
  </w:num>
  <w:num w:numId="7" w16cid:durableId="1764455808">
    <w:abstractNumId w:val="1"/>
  </w:num>
  <w:num w:numId="8" w16cid:durableId="146946447">
    <w:abstractNumId w:val="14"/>
  </w:num>
  <w:num w:numId="9" w16cid:durableId="1646855927">
    <w:abstractNumId w:val="11"/>
  </w:num>
  <w:num w:numId="10" w16cid:durableId="941256808">
    <w:abstractNumId w:val="8"/>
  </w:num>
  <w:num w:numId="11" w16cid:durableId="1311129565">
    <w:abstractNumId w:val="10"/>
  </w:num>
  <w:num w:numId="12" w16cid:durableId="311178519">
    <w:abstractNumId w:val="15"/>
  </w:num>
  <w:num w:numId="13" w16cid:durableId="1059861500">
    <w:abstractNumId w:val="3"/>
  </w:num>
  <w:num w:numId="14" w16cid:durableId="1758671732">
    <w:abstractNumId w:val="13"/>
  </w:num>
  <w:num w:numId="15" w16cid:durableId="1175729021">
    <w:abstractNumId w:val="18"/>
  </w:num>
  <w:num w:numId="16" w16cid:durableId="359744890">
    <w:abstractNumId w:val="9"/>
  </w:num>
  <w:num w:numId="17" w16cid:durableId="1224412945">
    <w:abstractNumId w:val="12"/>
  </w:num>
  <w:num w:numId="18" w16cid:durableId="623120148">
    <w:abstractNumId w:val="0"/>
  </w:num>
  <w:num w:numId="19" w16cid:durableId="2007781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xv8NIeeb6drzdrmcmFEc/IiTddsVQ+C4zC6mslkToC14jBo/Raw88ORUKdfh6ELwqwQoK3/kdAEFSlj4eXxdow==" w:salt="2QVCLUR6lLY6rrki+04CK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DE"/>
    <w:rsid w:val="000771D8"/>
    <w:rsid w:val="000D28B9"/>
    <w:rsid w:val="00362485"/>
    <w:rsid w:val="005F572B"/>
    <w:rsid w:val="00680DDE"/>
    <w:rsid w:val="00765B3F"/>
    <w:rsid w:val="00D02690"/>
    <w:rsid w:val="00D30FD3"/>
    <w:rsid w:val="00ED64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8721"/>
  <w15:chartTrackingRefBased/>
  <w15:docId w15:val="{599E74CC-D55F-4E25-A18B-D64B142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DE"/>
    <w:pPr>
      <w:spacing w:line="252" w:lineRule="auto"/>
      <w:jc w:val="both"/>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DE"/>
    <w:pPr>
      <w:ind w:left="720"/>
      <w:contextualSpacing/>
    </w:pPr>
  </w:style>
  <w:style w:type="paragraph" w:styleId="Header">
    <w:name w:val="header"/>
    <w:basedOn w:val="Normal"/>
    <w:link w:val="HeaderChar"/>
    <w:uiPriority w:val="99"/>
    <w:unhideWhenUsed/>
    <w:rsid w:val="00D3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D3"/>
    <w:rPr>
      <w:rFonts w:eastAsiaTheme="minorEastAsia"/>
      <w:kern w:val="0"/>
      <w:lang w:val="en-US"/>
      <w14:ligatures w14:val="none"/>
    </w:rPr>
  </w:style>
  <w:style w:type="paragraph" w:styleId="Footer">
    <w:name w:val="footer"/>
    <w:basedOn w:val="Normal"/>
    <w:link w:val="FooterChar"/>
    <w:uiPriority w:val="99"/>
    <w:unhideWhenUsed/>
    <w:rsid w:val="00D3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D3"/>
    <w:rPr>
      <w:rFonts w:eastAsiaTheme="minorEastAsia"/>
      <w:kern w:val="0"/>
      <w:lang w:val="en-US"/>
      <w14:ligatures w14:val="none"/>
    </w:rPr>
  </w:style>
  <w:style w:type="paragraph" w:styleId="Caption">
    <w:name w:val="caption"/>
    <w:basedOn w:val="Normal"/>
    <w:next w:val="Normal"/>
    <w:uiPriority w:val="35"/>
    <w:unhideWhenUsed/>
    <w:qFormat/>
    <w:rsid w:val="00D30FD3"/>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latin typeface="Times New Roman" panose="02020603050405020304" pitchFamily="18" charset="0"/>
                <a:cs typeface="Times New Roman" panose="02020603050405020304" pitchFamily="18" charset="0"/>
              </a:rPr>
              <a:t>Rata-Rata Harga</a:t>
            </a:r>
            <a:r>
              <a:rPr lang="en-US" sz="1400" baseline="0">
                <a:latin typeface="Times New Roman" panose="02020603050405020304" pitchFamily="18" charset="0"/>
                <a:cs typeface="Times New Roman" panose="02020603050405020304" pitchFamily="18" charset="0"/>
              </a:rPr>
              <a:t> Saham Perusahaan Sub Sektor Konstruksi Tahun 2019-2023</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31750" cap="rnd">
              <a:solidFill>
                <a:schemeClr val="accent2">
                  <a:shade val="65000"/>
                </a:schemeClr>
              </a:solidFill>
              <a:round/>
            </a:ln>
            <a:effectLst/>
          </c:spPr>
          <c:marker>
            <c:symbol val="circle"/>
            <c:size val="6"/>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numCache>
            </c:numRef>
          </c:val>
          <c:smooth val="0"/>
          <c:extLst>
            <c:ext xmlns:c16="http://schemas.microsoft.com/office/drawing/2014/chart" uri="{C3380CC4-5D6E-409C-BE32-E72D297353CC}">
              <c16:uniqueId val="{00000000-1658-48FE-9AEF-2FAA54A5B823}"/>
            </c:ext>
          </c:extLst>
        </c:ser>
        <c:ser>
          <c:idx val="1"/>
          <c:order val="1"/>
          <c:tx>
            <c:strRef>
              <c:f>Sheet1!$C$1</c:f>
              <c:strCache>
                <c:ptCount val="1"/>
                <c:pt idx="0">
                  <c:v>Harga Saham</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_(* #,##0.00_);_(* \(#,##0.00\);_(* "-"??_);_(@_)</c:formatCode>
                <c:ptCount val="5"/>
                <c:pt idx="0">
                  <c:v>686.64705882352939</c:v>
                </c:pt>
                <c:pt idx="1">
                  <c:v>656.70588235294122</c:v>
                </c:pt>
                <c:pt idx="2">
                  <c:v>456.1764705882353</c:v>
                </c:pt>
                <c:pt idx="3">
                  <c:v>351.1764705882353</c:v>
                </c:pt>
                <c:pt idx="4">
                  <c:v>273.1764705882353</c:v>
                </c:pt>
              </c:numCache>
            </c:numRef>
          </c:val>
          <c:smooth val="0"/>
          <c:extLst>
            <c:ext xmlns:c16="http://schemas.microsoft.com/office/drawing/2014/chart" uri="{C3380CC4-5D6E-409C-BE32-E72D297353CC}">
              <c16:uniqueId val="{00000001-1658-48FE-9AEF-2FAA54A5B823}"/>
            </c:ext>
          </c:extLst>
        </c:ser>
        <c:ser>
          <c:idx val="2"/>
          <c:order val="2"/>
          <c:tx>
            <c:strRef>
              <c:f>Sheet1!$D$1</c:f>
              <c:strCache>
                <c:ptCount val="1"/>
                <c:pt idx="0">
                  <c:v>Column2</c:v>
                </c:pt>
              </c:strCache>
            </c:strRef>
          </c:tx>
          <c:spPr>
            <a:ln w="31750" cap="rnd">
              <a:solidFill>
                <a:schemeClr val="accent2">
                  <a:tint val="65000"/>
                </a:schemeClr>
              </a:solidFill>
              <a:round/>
            </a:ln>
            <a:effectLst/>
          </c:spPr>
          <c:marker>
            <c:symbol val="circle"/>
            <c:size val="6"/>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extLst>
            <c:ext xmlns:c16="http://schemas.microsoft.com/office/drawing/2014/chart" uri="{C3380CC4-5D6E-409C-BE32-E72D297353CC}">
              <c16:uniqueId val="{00000002-1658-48FE-9AEF-2FAA54A5B823}"/>
            </c:ext>
          </c:extLst>
        </c:ser>
        <c:dLbls>
          <c:showLegendKey val="0"/>
          <c:showVal val="0"/>
          <c:showCatName val="0"/>
          <c:showSerName val="0"/>
          <c:showPercent val="0"/>
          <c:showBubbleSize val="0"/>
        </c:dLbls>
        <c:marker val="1"/>
        <c:smooth val="0"/>
        <c:axId val="724420207"/>
        <c:axId val="724424527"/>
      </c:lineChart>
      <c:catAx>
        <c:axId val="72442020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24424527"/>
        <c:crosses val="autoZero"/>
        <c:auto val="1"/>
        <c:lblAlgn val="ctr"/>
        <c:lblOffset val="100"/>
        <c:noMultiLvlLbl val="0"/>
      </c:catAx>
      <c:valAx>
        <c:axId val="72442452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24420207"/>
        <c:crosses val="autoZero"/>
        <c:crossBetween val="between"/>
      </c:valAx>
      <c:spPr>
        <a:noFill/>
        <a:ln>
          <a:noFill/>
        </a:ln>
        <a:effectLst/>
      </c:spPr>
    </c:plotArea>
    <c:legend>
      <c:legendPos val="b"/>
      <c:legendEntry>
        <c:idx val="0"/>
        <c:delete val="1"/>
      </c:legendEntry>
      <c:legendEntry>
        <c:idx val="1"/>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Rata-Rata Earning Per Share (EPS) Perusahaan Sub Sektor Konstruksi tahun 2019-2023</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Column2</c:v>
                </c:pt>
              </c:strCache>
            </c:strRef>
          </c:tx>
          <c:spPr>
            <a:ln w="31750" cap="rnd">
              <a:solidFill>
                <a:schemeClr val="accent2">
                  <a:tint val="65000"/>
                </a:schemeClr>
              </a:solidFill>
              <a:round/>
            </a:ln>
            <a:effectLst/>
          </c:spPr>
          <c:marker>
            <c:symbol val="circle"/>
            <c:size val="6"/>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numCache>
            </c:numRef>
          </c:val>
          <c:smooth val="0"/>
          <c:extLst>
            <c:ext xmlns:c16="http://schemas.microsoft.com/office/drawing/2014/chart" uri="{C3380CC4-5D6E-409C-BE32-E72D297353CC}">
              <c16:uniqueId val="{00000000-07FA-43DC-B7F1-02DACC1CD8A7}"/>
            </c:ext>
          </c:extLst>
        </c:ser>
        <c:ser>
          <c:idx val="1"/>
          <c:order val="1"/>
          <c:tx>
            <c:strRef>
              <c:f>Sheet1!$C$1</c:f>
              <c:strCache>
                <c:ptCount val="1"/>
                <c:pt idx="0">
                  <c:v>EPS</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_(* #,##0.00_);_(* \(#,##0.00\);_(* "-"??_);_(@_)</c:formatCode>
                <c:ptCount val="5"/>
                <c:pt idx="0">
                  <c:v>-35.935378006731518</c:v>
                </c:pt>
                <c:pt idx="1">
                  <c:v>-37.030792259958261</c:v>
                </c:pt>
                <c:pt idx="2">
                  <c:v>8.4760382400930183</c:v>
                </c:pt>
                <c:pt idx="3">
                  <c:v>20.023728174511948</c:v>
                </c:pt>
                <c:pt idx="4">
                  <c:v>-20.291981103302291</c:v>
                </c:pt>
              </c:numCache>
            </c:numRef>
          </c:val>
          <c:smooth val="0"/>
          <c:extLst>
            <c:ext xmlns:c16="http://schemas.microsoft.com/office/drawing/2014/chart" uri="{C3380CC4-5D6E-409C-BE32-E72D297353CC}">
              <c16:uniqueId val="{00000001-07FA-43DC-B7F1-02DACC1CD8A7}"/>
            </c:ext>
          </c:extLst>
        </c:ser>
        <c:ser>
          <c:idx val="2"/>
          <c:order val="2"/>
          <c:tx>
            <c:strRef>
              <c:f>Sheet1!$D$1</c:f>
              <c:strCache>
                <c:ptCount val="1"/>
                <c:pt idx="0">
                  <c:v>Column1</c:v>
                </c:pt>
              </c:strCache>
            </c:strRef>
          </c:tx>
          <c:spPr>
            <a:ln w="31750" cap="rnd">
              <a:solidFill>
                <a:schemeClr val="accent2">
                  <a:shade val="65000"/>
                </a:schemeClr>
              </a:solidFill>
              <a:round/>
            </a:ln>
            <a:effectLst/>
          </c:spPr>
          <c:marker>
            <c:symbol val="circle"/>
            <c:size val="6"/>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extLst>
            <c:ext xmlns:c16="http://schemas.microsoft.com/office/drawing/2014/chart" uri="{C3380CC4-5D6E-409C-BE32-E72D297353CC}">
              <c16:uniqueId val="{00000002-07FA-43DC-B7F1-02DACC1CD8A7}"/>
            </c:ext>
          </c:extLst>
        </c:ser>
        <c:dLbls>
          <c:showLegendKey val="0"/>
          <c:showVal val="0"/>
          <c:showCatName val="0"/>
          <c:showSerName val="0"/>
          <c:showPercent val="0"/>
          <c:showBubbleSize val="0"/>
        </c:dLbls>
        <c:marker val="1"/>
        <c:smooth val="0"/>
        <c:axId val="1079112991"/>
        <c:axId val="1079113951"/>
      </c:lineChart>
      <c:catAx>
        <c:axId val="107911299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9113951"/>
        <c:crosses val="autoZero"/>
        <c:auto val="1"/>
        <c:lblAlgn val="ctr"/>
        <c:lblOffset val="100"/>
        <c:noMultiLvlLbl val="0"/>
      </c:catAx>
      <c:valAx>
        <c:axId val="107911395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9112991"/>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Rata-Rata Current Ratio (CR) Perusahaan Sub Sektor Konstruksi tahun 2019-2023</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Column1</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numCache>
            </c:numRef>
          </c:val>
          <c:smooth val="0"/>
          <c:extLst>
            <c:ext xmlns:c16="http://schemas.microsoft.com/office/drawing/2014/chart" uri="{C3380CC4-5D6E-409C-BE32-E72D297353CC}">
              <c16:uniqueId val="{00000000-0F24-4156-94FA-604AC67EAF9A}"/>
            </c:ext>
          </c:extLst>
        </c:ser>
        <c:ser>
          <c:idx val="1"/>
          <c:order val="1"/>
          <c:tx>
            <c:strRef>
              <c:f>Sheet1!$C$1</c:f>
              <c:strCache>
                <c:ptCount val="1"/>
                <c:pt idx="0">
                  <c:v>CR</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_(* #,##0.00_);_(* \(#,##0.00\);_(* "-"??_);_(@_)</c:formatCode>
                <c:ptCount val="5"/>
                <c:pt idx="0">
                  <c:v>1.715144935510357</c:v>
                </c:pt>
                <c:pt idx="1">
                  <c:v>1.6288668692730759</c:v>
                </c:pt>
                <c:pt idx="2">
                  <c:v>1.7273429780215266</c:v>
                </c:pt>
                <c:pt idx="3">
                  <c:v>1.6790364723248952</c:v>
                </c:pt>
                <c:pt idx="4">
                  <c:v>1.5482893385554393</c:v>
                </c:pt>
              </c:numCache>
            </c:numRef>
          </c:val>
          <c:smooth val="0"/>
          <c:extLst>
            <c:ext xmlns:c16="http://schemas.microsoft.com/office/drawing/2014/chart" uri="{C3380CC4-5D6E-409C-BE32-E72D297353CC}">
              <c16:uniqueId val="{00000001-0F24-4156-94FA-604AC67EAF9A}"/>
            </c:ext>
          </c:extLst>
        </c:ser>
        <c:ser>
          <c:idx val="2"/>
          <c:order val="2"/>
          <c:tx>
            <c:strRef>
              <c:f>Sheet1!$D$1</c:f>
              <c:strCache>
                <c:ptCount val="1"/>
                <c:pt idx="0">
                  <c:v>Column2</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extLst>
            <c:ext xmlns:c16="http://schemas.microsoft.com/office/drawing/2014/chart" uri="{C3380CC4-5D6E-409C-BE32-E72D297353CC}">
              <c16:uniqueId val="{00000002-0F24-4156-94FA-604AC67EAF9A}"/>
            </c:ext>
          </c:extLst>
        </c:ser>
        <c:dLbls>
          <c:showLegendKey val="0"/>
          <c:showVal val="0"/>
          <c:showCatName val="0"/>
          <c:showSerName val="0"/>
          <c:showPercent val="0"/>
          <c:showBubbleSize val="0"/>
        </c:dLbls>
        <c:marker val="1"/>
        <c:smooth val="0"/>
        <c:axId val="1076099935"/>
        <c:axId val="1076117695"/>
      </c:lineChart>
      <c:catAx>
        <c:axId val="10760999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6117695"/>
        <c:crosses val="autoZero"/>
        <c:auto val="1"/>
        <c:lblAlgn val="ctr"/>
        <c:lblOffset val="100"/>
        <c:noMultiLvlLbl val="0"/>
      </c:catAx>
      <c:valAx>
        <c:axId val="107611769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6099935"/>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Rata-Rata Debt to Equity Ratio (DER) Perusahaan Sub Sektor Konstruksi tahun 2019-2023</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Column1</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numCache>
            </c:numRef>
          </c:val>
          <c:smooth val="0"/>
          <c:extLst>
            <c:ext xmlns:c16="http://schemas.microsoft.com/office/drawing/2014/chart" uri="{C3380CC4-5D6E-409C-BE32-E72D297353CC}">
              <c16:uniqueId val="{00000000-1EEC-4921-B8FC-6FBC0DA865F2}"/>
            </c:ext>
          </c:extLst>
        </c:ser>
        <c:ser>
          <c:idx val="1"/>
          <c:order val="1"/>
          <c:tx>
            <c:strRef>
              <c:f>Sheet1!$C$1</c:f>
              <c:strCache>
                <c:ptCount val="1"/>
                <c:pt idx="0">
                  <c:v>DER</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_(* #,##0.00_);_(* \(#,##0.00\);_(* "-"??_);_(@_)</c:formatCode>
                <c:ptCount val="5"/>
                <c:pt idx="0">
                  <c:v>3.6216627447974759</c:v>
                </c:pt>
                <c:pt idx="1">
                  <c:v>2.2007243429085483</c:v>
                </c:pt>
                <c:pt idx="2">
                  <c:v>1.7589176546411687</c:v>
                </c:pt>
                <c:pt idx="3">
                  <c:v>1.7010938770346438</c:v>
                </c:pt>
                <c:pt idx="4">
                  <c:v>2.1669615107839082</c:v>
                </c:pt>
              </c:numCache>
            </c:numRef>
          </c:val>
          <c:smooth val="0"/>
          <c:extLst>
            <c:ext xmlns:c16="http://schemas.microsoft.com/office/drawing/2014/chart" uri="{C3380CC4-5D6E-409C-BE32-E72D297353CC}">
              <c16:uniqueId val="{00000001-1EEC-4921-B8FC-6FBC0DA865F2}"/>
            </c:ext>
          </c:extLst>
        </c:ser>
        <c:ser>
          <c:idx val="2"/>
          <c:order val="2"/>
          <c:tx>
            <c:strRef>
              <c:f>Sheet1!$D$1</c:f>
              <c:strCache>
                <c:ptCount val="1"/>
                <c:pt idx="0">
                  <c:v>Column2</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numCache>
            </c:numRef>
          </c:val>
          <c:smooth val="0"/>
          <c:extLst>
            <c:ext xmlns:c16="http://schemas.microsoft.com/office/drawing/2014/chart" uri="{C3380CC4-5D6E-409C-BE32-E72D297353CC}">
              <c16:uniqueId val="{00000002-1EEC-4921-B8FC-6FBC0DA865F2}"/>
            </c:ext>
          </c:extLst>
        </c:ser>
        <c:dLbls>
          <c:showLegendKey val="0"/>
          <c:showVal val="0"/>
          <c:showCatName val="0"/>
          <c:showSerName val="0"/>
          <c:showPercent val="0"/>
          <c:showBubbleSize val="0"/>
        </c:dLbls>
        <c:marker val="1"/>
        <c:smooth val="0"/>
        <c:axId val="1076109535"/>
        <c:axId val="1076097055"/>
      </c:lineChart>
      <c:catAx>
        <c:axId val="10761095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6097055"/>
        <c:crosses val="autoZero"/>
        <c:auto val="1"/>
        <c:lblAlgn val="ctr"/>
        <c:lblOffset val="100"/>
        <c:noMultiLvlLbl val="0"/>
      </c:catAx>
      <c:valAx>
        <c:axId val="107609705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6109535"/>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5938</Words>
  <Characters>33853</Characters>
  <Application>Microsoft Office Word</Application>
  <DocSecurity>0</DocSecurity>
  <Lines>282</Lines>
  <Paragraphs>79</Paragraphs>
  <ScaleCrop>false</ScaleCrop>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2024-11-01T06:47:00Z</dcterms:created>
  <dcterms:modified xsi:type="dcterms:W3CDTF">2024-11-22T01:40:00Z</dcterms:modified>
</cp:coreProperties>
</file>