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E8A7D" w14:textId="77777777" w:rsidR="004830AB" w:rsidRPr="007F5F1E" w:rsidRDefault="004830AB" w:rsidP="004830AB">
      <w:pPr>
        <w:pStyle w:val="Heading1"/>
        <w:jc w:val="center"/>
        <w:rPr>
          <w:lang w:val="en-US"/>
        </w:rPr>
      </w:pPr>
      <w:bookmarkStart w:id="0" w:name="_Toc173996989"/>
      <w:r w:rsidRPr="007F5F1E">
        <w:rPr>
          <w:lang w:val="en-US"/>
        </w:rPr>
        <w:t>DAFTAR PUSTAKA</w:t>
      </w:r>
      <w:bookmarkEnd w:id="0"/>
    </w:p>
    <w:sdt>
      <w:sdtPr>
        <w:rPr>
          <w:bCs/>
          <w:lang w:eastAsia="id-ID" w:bidi="ar-SA"/>
        </w:rPr>
        <w:tag w:val="MENDELEY_BIBLIOGRAPHY"/>
        <w:id w:val="982577543"/>
        <w:placeholder>
          <w:docPart w:val="985F4EB906684C3AAEC40D09C6E0BAC2"/>
        </w:placeholder>
      </w:sdtPr>
      <w:sdtContent>
        <w:p w14:paraId="6F839A53" w14:textId="77777777" w:rsidR="004830AB" w:rsidRPr="007F5F1E" w:rsidRDefault="004830AB" w:rsidP="004830AB">
          <w:pPr>
            <w:autoSpaceDE w:val="0"/>
            <w:autoSpaceDN w:val="0"/>
            <w:ind w:hanging="480"/>
            <w:rPr>
              <w:szCs w:val="24"/>
            </w:rPr>
          </w:pPr>
          <w:r w:rsidRPr="007F5F1E">
            <w:t xml:space="preserve">Albirr, M., Yazidillah, I., &amp; Barus, B. S. (n.d.). </w:t>
          </w:r>
          <w:r w:rsidRPr="007F5F1E">
            <w:rPr>
              <w:iCs/>
            </w:rPr>
            <w:t>STUDI TINJAUAN PUSTAKA ANALISIS RISIKO CRYPTOCURRENCY SEBAGAI ALAT UNTUK BERINVESTASI</w:t>
          </w:r>
          <w:r w:rsidRPr="007F5F1E">
            <w:t>.</w:t>
          </w:r>
        </w:p>
        <w:p w14:paraId="26C455D8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Coinmarketcap. (2024, April 26). </w:t>
          </w:r>
          <w:r w:rsidRPr="007F5F1E">
            <w:rPr>
              <w:iCs/>
            </w:rPr>
            <w:t>Cryptocurrency Prices and Market Capitalizations</w:t>
          </w:r>
          <w:r w:rsidRPr="007F5F1E">
            <w:t>. Www.Coinmarketcap.Com.</w:t>
          </w:r>
        </w:p>
        <w:p w14:paraId="551E0454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Crypto Akademi. (2023a). </w:t>
          </w:r>
          <w:r w:rsidRPr="007F5F1E">
            <w:rPr>
              <w:iCs/>
            </w:rPr>
            <w:t>Crypto Investing Principles</w:t>
          </w:r>
          <w:r w:rsidRPr="007F5F1E">
            <w:t>. Deepublish.</w:t>
          </w:r>
        </w:p>
        <w:p w14:paraId="7B98E194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Crypto Akademi. (2023b). </w:t>
          </w:r>
          <w:r w:rsidRPr="007F5F1E">
            <w:rPr>
              <w:iCs/>
            </w:rPr>
            <w:t>Crypto Trading Guide</w:t>
          </w:r>
          <w:r w:rsidRPr="007F5F1E">
            <w:t>. Deepublish.</w:t>
          </w:r>
        </w:p>
        <w:p w14:paraId="3312ED84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Cryptobubbles. (2024, May 1). </w:t>
          </w:r>
          <w:r w:rsidRPr="007F5F1E">
            <w:rPr>
              <w:iCs/>
            </w:rPr>
            <w:t>Real-Time Cryptocurrency Market Overview</w:t>
          </w:r>
          <w:r w:rsidRPr="007F5F1E">
            <w:t>. Www.Cryptobubbles.Net.</w:t>
          </w:r>
        </w:p>
        <w:p w14:paraId="782EB971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Emerald Publishing Limited. (2023). Journal of Industrial and Business Economics. </w:t>
          </w:r>
          <w:r w:rsidRPr="007F5F1E">
            <w:rPr>
              <w:iCs/>
            </w:rPr>
            <w:t>Journal of Industrial and Business Economics</w:t>
          </w:r>
          <w:r w:rsidRPr="007F5F1E">
            <w:t>.</w:t>
          </w:r>
        </w:p>
        <w:p w14:paraId="338D11BF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Fajar Saputra, R. (2023). </w:t>
          </w:r>
          <w:r w:rsidRPr="007F5F1E">
            <w:rPr>
              <w:iCs/>
            </w:rPr>
            <w:t>OKTAL : Jurnal Ilmu Komputer dan Science Perancangan Aplikasi Otomatisasi Jual Beli Aset Kripto Menggunakan Metode Relative Strength Index (Studi Kasus ETH/USDT pada binance.com)</w:t>
          </w:r>
          <w:r w:rsidRPr="007F5F1E">
            <w:t xml:space="preserve">. </w:t>
          </w:r>
          <w:r w:rsidRPr="007F5F1E">
            <w:rPr>
              <w:iCs/>
            </w:rPr>
            <w:t>2</w:t>
          </w:r>
          <w:r w:rsidRPr="007F5F1E">
            <w:t>(1).</w:t>
          </w:r>
        </w:p>
        <w:p w14:paraId="45EEA33B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Hakim Abdul Aziz, O. M. A. (2023). ANALISIS DAMPAK PENGGUNAAN KRIPTOCURRENCY TERHADAP PERTUMBUHAN PEROKONOMIAN DI INDONESIA. </w:t>
          </w:r>
          <w:r w:rsidRPr="007F5F1E">
            <w:rPr>
              <w:iCs/>
            </w:rPr>
            <w:t>Jurnal Dinamika Ekonomi Syariah</w:t>
          </w:r>
          <w:r w:rsidRPr="007F5F1E">
            <w:t xml:space="preserve">, </w:t>
          </w:r>
          <w:r w:rsidRPr="007F5F1E">
            <w:rPr>
              <w:iCs/>
            </w:rPr>
            <w:t>10</w:t>
          </w:r>
          <w:r w:rsidRPr="007F5F1E">
            <w:t>(1), 1–12. https://doi.org/10.33087/jiubj.v22i1.2014</w:t>
          </w:r>
        </w:p>
        <w:p w14:paraId="6EF8D5EA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Hambali Risman, H. N. (2020). Risiko dan Tingkat Keuntungan Investasi Cryptocurrency. </w:t>
          </w:r>
          <w:r w:rsidRPr="007F5F1E">
            <w:rPr>
              <w:iCs/>
            </w:rPr>
            <w:t>Jurnal Manajemen Dan Bisnis</w:t>
          </w:r>
          <w:r w:rsidRPr="007F5F1E">
            <w:t xml:space="preserve">, </w:t>
          </w:r>
          <w:r w:rsidRPr="007F5F1E">
            <w:rPr>
              <w:iCs/>
            </w:rPr>
            <w:t>17</w:t>
          </w:r>
          <w:r w:rsidRPr="007F5F1E">
            <w:t>, 1–14. https://doi.org/10.29313/performa.v17i1.7236</w:t>
          </w:r>
        </w:p>
        <w:p w14:paraId="5B3356C9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Huda, N., Lake, Y., &amp; Korbaffo, Y. A. (2022). MONEY MANAGEMENT DALAM INVESTASI CRYPTOCURRENCY. </w:t>
          </w:r>
          <w:r w:rsidRPr="007F5F1E">
            <w:rPr>
              <w:iCs/>
            </w:rPr>
            <w:t>Jurnal Manajemen Dan Bisnis Performa</w:t>
          </w:r>
          <w:r w:rsidRPr="007F5F1E">
            <w:t xml:space="preserve">, </w:t>
          </w:r>
          <w:r w:rsidRPr="007F5F1E">
            <w:rPr>
              <w:iCs/>
            </w:rPr>
            <w:t>19</w:t>
          </w:r>
          <w:r w:rsidRPr="007F5F1E">
            <w:t>(2), 50–57. https://doi.org/10.29313/performa.v19i2.9973</w:t>
          </w:r>
        </w:p>
        <w:p w14:paraId="5B9542B2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Huda, N., Lake, Y., Ray, D., Sitorus, H., Ekonomi, F., Bisnis, D., &amp; Timor, U. (2023). Strategi Investasi pada Aset Cryptocurrency. </w:t>
          </w:r>
          <w:r w:rsidRPr="007F5F1E">
            <w:rPr>
              <w:iCs/>
            </w:rPr>
            <w:t>Jurnal Akuntansi Dan Keuangan</w:t>
          </w:r>
          <w:r w:rsidRPr="007F5F1E">
            <w:t xml:space="preserve">, </w:t>
          </w:r>
          <w:r w:rsidRPr="007F5F1E">
            <w:rPr>
              <w:iCs/>
            </w:rPr>
            <w:t>10</w:t>
          </w:r>
          <w:r w:rsidRPr="007F5F1E">
            <w:t>, 1–5. http://ejournal.bsi.ac.id/ejurnal/index.php/moneter49</w:t>
          </w:r>
        </w:p>
        <w:p w14:paraId="082C932A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Ikatan Bankir Indonesia (IBI). (2015). </w:t>
          </w:r>
          <w:r w:rsidRPr="007F5F1E">
            <w:rPr>
              <w:iCs/>
            </w:rPr>
            <w:t>Manajemen Risiko 1</w:t>
          </w:r>
          <w:r w:rsidRPr="007F5F1E">
            <w:t>. gramedia pustaka Utama.</w:t>
          </w:r>
        </w:p>
        <w:p w14:paraId="31166656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Putri, J. Y., &amp; Gandakusuma, I. (n.d.). Analisis Pengaruh Risiko Kredit, Risiko Likuiditas, serta Risiko Operasional Terhadap Kinerja Perbankan: Studi Kasus </w:t>
          </w:r>
          <w:r w:rsidRPr="007F5F1E">
            <w:lastRenderedPageBreak/>
            <w:t xml:space="preserve">pada Bank Umum Konvensional yang Terdaftar di Bursa Efek Indonesia Periode 2016-2020 Analysis of the Influence of Credit Risk, Liquidity Risk, and Operational Risk on Banking Performance: Case Studies of Conventional Commercial Banks Listed on the Indonesia Stock Exchange for the 2016-2020 Period. In </w:t>
          </w:r>
          <w:r w:rsidRPr="007F5F1E">
            <w:rPr>
              <w:iCs/>
            </w:rPr>
            <w:t>Jurnal Manajemen dan Usahawan Indonesia •</w:t>
          </w:r>
          <w:r w:rsidRPr="007F5F1E">
            <w:t xml:space="preserve"> (Vol. 46, Issue 1).</w:t>
          </w:r>
        </w:p>
        <w:p w14:paraId="4360ADEF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Robinson Sihombing, P. (2021). </w:t>
          </w:r>
          <w:r w:rsidRPr="007F5F1E">
            <w:rPr>
              <w:iCs/>
            </w:rPr>
            <w:t>Analisis Regresi Data Panel</w:t>
          </w:r>
          <w:r w:rsidRPr="007F5F1E">
            <w:t>. https://www.researchgate.net/publication/357051571</w:t>
          </w:r>
        </w:p>
        <w:p w14:paraId="6EFD889B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Saputra Endra. (2018). Seminar Nasional Royal (SENAR) 2018 ISSN 2622-9986 (cetak) STMIK Royal-AMIK Royal, hlm. 491-496 ISSN 2622-6510 (online) Kisaran, Asahan. </w:t>
          </w:r>
          <w:r w:rsidRPr="007F5F1E">
            <w:rPr>
              <w:iCs/>
            </w:rPr>
            <w:t>DAMPAK CRYPTOCURRENCY TERHADAP PEREKONOMIAN INDONESIA</w:t>
          </w:r>
          <w:r w:rsidRPr="007F5F1E">
            <w:t>. https://telset.id/189479/ini-10-prediksi-</w:t>
          </w:r>
        </w:p>
        <w:p w14:paraId="0F6E99E6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Setiawan, E. P. (2020). Analisis Potensi dan Risiko Investasi Cryptocurrency di Indonesia. </w:t>
          </w:r>
          <w:r w:rsidRPr="007F5F1E">
            <w:rPr>
              <w:iCs/>
            </w:rPr>
            <w:t>Jurnal Manajemen Teknologi</w:t>
          </w:r>
          <w:r w:rsidRPr="007F5F1E">
            <w:t xml:space="preserve">, </w:t>
          </w:r>
          <w:r w:rsidRPr="007F5F1E">
            <w:rPr>
              <w:iCs/>
            </w:rPr>
            <w:t>19</w:t>
          </w:r>
          <w:r w:rsidRPr="007F5F1E">
            <w:t>(2), 130–144. https://doi.org/10.12695/jmt.2020.19.2.2</w:t>
          </w:r>
        </w:p>
        <w:p w14:paraId="2112BC23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Sihombing, S., Rizky Nasution, M., &amp; Sadalia, I. (2021). Analisis Fundamental Cryptocurrency terhadap Fluktuasi Harga: Studi Kasus Tahun 2019-2020. </w:t>
          </w:r>
          <w:r w:rsidRPr="007F5F1E">
            <w:rPr>
              <w:iCs/>
            </w:rPr>
            <w:t>Jurnal Akuntansi, Keuangan, Dan Manajemen</w:t>
          </w:r>
          <w:r w:rsidRPr="007F5F1E">
            <w:t xml:space="preserve">, </w:t>
          </w:r>
          <w:r w:rsidRPr="007F5F1E">
            <w:rPr>
              <w:iCs/>
            </w:rPr>
            <w:t>2</w:t>
          </w:r>
          <w:r w:rsidRPr="007F5F1E">
            <w:t>(3), 213–224. https://doi.org/10.35912/jakman.v2i3.373</w:t>
          </w:r>
        </w:p>
        <w:p w14:paraId="66C84B4D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Tradingview. (2024, May 1). </w:t>
          </w:r>
          <w:r w:rsidRPr="007F5F1E">
            <w:rPr>
              <w:iCs/>
            </w:rPr>
            <w:t>Cryptocurrency Charts and Market Analysis</w:t>
          </w:r>
          <w:r w:rsidRPr="007F5F1E">
            <w:t>. Www.Tradingview.Com.</w:t>
          </w:r>
        </w:p>
        <w:p w14:paraId="2CFDB8D8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Widianto, A., Sjahruddin, H., Fachri Rifai, D., Studi Manajemen, P., &amp; Tinggi Ilmu Ekonomi Makassar Bongaya, S. (2024). </w:t>
          </w:r>
          <w:r w:rsidRPr="007F5F1E">
            <w:rPr>
              <w:iCs/>
            </w:rPr>
            <w:t>PENGARUH PERPUTARAN MODAL KERJA DAN PERPUTARAN PERSEDIAAN TERHADAP PROFITABILITAS</w:t>
          </w:r>
          <w:r w:rsidRPr="007F5F1E">
            <w:t xml:space="preserve">. </w:t>
          </w:r>
          <w:r w:rsidRPr="007F5F1E">
            <w:rPr>
              <w:iCs/>
            </w:rPr>
            <w:t>17</w:t>
          </w:r>
          <w:r w:rsidRPr="007F5F1E">
            <w:t>(1). https://doi.org/10.46306/jbbe.v17i1</w:t>
          </w:r>
        </w:p>
        <w:p w14:paraId="1CA8F137" w14:textId="77777777" w:rsidR="004830AB" w:rsidRPr="007F5F1E" w:rsidRDefault="004830AB" w:rsidP="004830AB">
          <w:pPr>
            <w:autoSpaceDE w:val="0"/>
            <w:autoSpaceDN w:val="0"/>
            <w:ind w:hanging="480"/>
          </w:pPr>
          <w:r w:rsidRPr="007F5F1E">
            <w:t xml:space="preserve">Wijaya, E., Lestari, W. R., Hakim, L., Akuntansi, J., Ekonomi, F., Bisnis, D., Darmajaya, B., &amp; Manajemen, J. (n.d.). </w:t>
          </w:r>
          <w:r w:rsidRPr="007F5F1E">
            <w:rPr>
              <w:iCs/>
            </w:rPr>
            <w:t>PENGARUH KUALITAS AKRUAL DAN RISIKO PASAR TERHADAP SINKRONITAS HARGA SAHAM</w:t>
          </w:r>
          <w:r w:rsidRPr="007F5F1E">
            <w:t>.</w:t>
          </w:r>
        </w:p>
        <w:p w14:paraId="183A8E0B" w14:textId="77777777" w:rsidR="004830AB" w:rsidRPr="007F5F1E" w:rsidRDefault="004830AB" w:rsidP="004830AB">
          <w:pPr>
            <w:autoSpaceDE w:val="0"/>
            <w:autoSpaceDN w:val="0"/>
            <w:ind w:left="488" w:hanging="480"/>
          </w:pPr>
          <w:r w:rsidRPr="007F5F1E">
            <w:t xml:space="preserve">Zatwarnicki, M., Zatwarnicki, K., &amp; Stolarski, P. (2023). Effectiveness of the Relative Strength Index Signals in Timing the Cryptocurrency Market. </w:t>
          </w:r>
          <w:r w:rsidRPr="007F5F1E">
            <w:rPr>
              <w:iCs/>
            </w:rPr>
            <w:t>Sensors</w:t>
          </w:r>
          <w:r w:rsidRPr="007F5F1E">
            <w:t xml:space="preserve">, </w:t>
          </w:r>
          <w:r w:rsidRPr="007F5F1E">
            <w:rPr>
              <w:iCs/>
            </w:rPr>
            <w:t>23</w:t>
          </w:r>
          <w:r w:rsidRPr="007F5F1E">
            <w:t xml:space="preserve">(3). </w:t>
          </w:r>
          <w:hyperlink r:id="rId7" w:history="1">
            <w:r w:rsidRPr="007F5F1E">
              <w:rPr>
                <w:rStyle w:val="Hyperlink"/>
              </w:rPr>
              <w:t>https://doi.org/10.3390/s23031664</w:t>
            </w:r>
          </w:hyperlink>
        </w:p>
      </w:sdtContent>
    </w:sdt>
    <w:p w14:paraId="19680547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469F40FF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668D460F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54C59BF8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3BFD4FDC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7FED91CB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57FF2802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72AEB9F4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3420AEB1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64DA8940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2ED04AFF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07D9DDF3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4C24676D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2BA0AA9F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4DBE706D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1DEBD732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7BAB6B95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7A4B2BD6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30DDA28F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41B21E7E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694899BE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213F034A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096DEBA1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58F52660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4FCE1521" w14:textId="77777777" w:rsidR="004830AB" w:rsidRPr="007F5F1E" w:rsidRDefault="004830AB" w:rsidP="004830AB">
      <w:pPr>
        <w:ind w:left="0" w:firstLine="0"/>
        <w:rPr>
          <w:bCs/>
          <w:lang w:eastAsia="id-ID" w:bidi="ar-SA"/>
        </w:rPr>
      </w:pPr>
    </w:p>
    <w:p w14:paraId="31F66210" w14:textId="519210AC" w:rsidR="0081305A" w:rsidRPr="004830AB" w:rsidRDefault="0081305A" w:rsidP="004830AB"/>
    <w:sectPr w:rsidR="0081305A" w:rsidRPr="004830AB" w:rsidSect="00813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0ACC8" w14:textId="77777777" w:rsidR="000C4FAA" w:rsidRDefault="000C4FAA">
      <w:pPr>
        <w:spacing w:after="0" w:line="240" w:lineRule="auto"/>
      </w:pPr>
      <w:r>
        <w:separator/>
      </w:r>
    </w:p>
  </w:endnote>
  <w:endnote w:type="continuationSeparator" w:id="0">
    <w:p w14:paraId="29062C98" w14:textId="77777777" w:rsidR="000C4FAA" w:rsidRDefault="000C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9D778" w14:textId="77777777" w:rsidR="00422052" w:rsidRDefault="0042205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10BF" w14:textId="77777777" w:rsidR="00422052" w:rsidRDefault="0042205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2C925" w14:textId="77777777" w:rsidR="00422052" w:rsidRDefault="0042205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0CCAB" w14:textId="77777777" w:rsidR="000C4FAA" w:rsidRDefault="000C4FAA">
      <w:pPr>
        <w:spacing w:after="0" w:line="240" w:lineRule="auto"/>
      </w:pPr>
      <w:r>
        <w:separator/>
      </w:r>
    </w:p>
  </w:footnote>
  <w:footnote w:type="continuationSeparator" w:id="0">
    <w:p w14:paraId="29E256B6" w14:textId="77777777" w:rsidR="000C4FAA" w:rsidRDefault="000C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45522" w14:textId="1D431E9C" w:rsidR="00422052" w:rsidRDefault="00AA4B39">
    <w:pPr>
      <w:spacing w:after="160" w:line="259" w:lineRule="auto"/>
      <w:ind w:left="0" w:right="0" w:firstLine="0"/>
      <w:jc w:val="left"/>
    </w:pPr>
    <w:r>
      <w:rPr>
        <w:noProof/>
        <w14:ligatures w14:val="standardContextual"/>
      </w:rPr>
      <w:pict w14:anchorId="32FA0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10617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0583B" w14:textId="3C34C783" w:rsidR="00422052" w:rsidRDefault="00AA4B39">
    <w:pPr>
      <w:spacing w:after="160" w:line="259" w:lineRule="auto"/>
      <w:ind w:left="0" w:right="0" w:firstLine="0"/>
      <w:jc w:val="left"/>
    </w:pPr>
    <w:r>
      <w:rPr>
        <w:noProof/>
        <w14:ligatures w14:val="standardContextual"/>
      </w:rPr>
      <w:pict w14:anchorId="4FD6A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10617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026C7" w14:textId="39187EEF" w:rsidR="00422052" w:rsidRDefault="00AA4B39">
    <w:pPr>
      <w:spacing w:after="160" w:line="259" w:lineRule="auto"/>
      <w:ind w:left="0" w:right="0" w:firstLine="0"/>
      <w:jc w:val="left"/>
    </w:pPr>
    <w:r>
      <w:rPr>
        <w:noProof/>
        <w14:ligatures w14:val="standardContextual"/>
      </w:rPr>
      <w:pict w14:anchorId="7BCA5C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10617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640"/>
    <w:multiLevelType w:val="hybridMultilevel"/>
    <w:tmpl w:val="1B50529A"/>
    <w:lvl w:ilvl="0" w:tplc="3809000F">
      <w:start w:val="1"/>
      <w:numFmt w:val="decimal"/>
      <w:lvlText w:val="%1."/>
      <w:lvlJc w:val="left"/>
      <w:pPr>
        <w:ind w:left="1040" w:hanging="360"/>
      </w:pPr>
    </w:lvl>
    <w:lvl w:ilvl="1" w:tplc="38090019" w:tentative="1">
      <w:start w:val="1"/>
      <w:numFmt w:val="lowerLetter"/>
      <w:lvlText w:val="%2."/>
      <w:lvlJc w:val="left"/>
      <w:pPr>
        <w:ind w:left="1760" w:hanging="360"/>
      </w:pPr>
    </w:lvl>
    <w:lvl w:ilvl="2" w:tplc="3809001B" w:tentative="1">
      <w:start w:val="1"/>
      <w:numFmt w:val="lowerRoman"/>
      <w:lvlText w:val="%3."/>
      <w:lvlJc w:val="right"/>
      <w:pPr>
        <w:ind w:left="2480" w:hanging="180"/>
      </w:pPr>
    </w:lvl>
    <w:lvl w:ilvl="3" w:tplc="3809000F" w:tentative="1">
      <w:start w:val="1"/>
      <w:numFmt w:val="decimal"/>
      <w:lvlText w:val="%4."/>
      <w:lvlJc w:val="left"/>
      <w:pPr>
        <w:ind w:left="3200" w:hanging="360"/>
      </w:pPr>
    </w:lvl>
    <w:lvl w:ilvl="4" w:tplc="38090019" w:tentative="1">
      <w:start w:val="1"/>
      <w:numFmt w:val="lowerLetter"/>
      <w:lvlText w:val="%5."/>
      <w:lvlJc w:val="left"/>
      <w:pPr>
        <w:ind w:left="3920" w:hanging="360"/>
      </w:pPr>
    </w:lvl>
    <w:lvl w:ilvl="5" w:tplc="3809001B" w:tentative="1">
      <w:start w:val="1"/>
      <w:numFmt w:val="lowerRoman"/>
      <w:lvlText w:val="%6."/>
      <w:lvlJc w:val="right"/>
      <w:pPr>
        <w:ind w:left="4640" w:hanging="180"/>
      </w:pPr>
    </w:lvl>
    <w:lvl w:ilvl="6" w:tplc="3809000F" w:tentative="1">
      <w:start w:val="1"/>
      <w:numFmt w:val="decimal"/>
      <w:lvlText w:val="%7."/>
      <w:lvlJc w:val="left"/>
      <w:pPr>
        <w:ind w:left="5360" w:hanging="360"/>
      </w:pPr>
    </w:lvl>
    <w:lvl w:ilvl="7" w:tplc="38090019" w:tentative="1">
      <w:start w:val="1"/>
      <w:numFmt w:val="lowerLetter"/>
      <w:lvlText w:val="%8."/>
      <w:lvlJc w:val="left"/>
      <w:pPr>
        <w:ind w:left="6080" w:hanging="360"/>
      </w:pPr>
    </w:lvl>
    <w:lvl w:ilvl="8" w:tplc="3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2C27AD6"/>
    <w:multiLevelType w:val="hybridMultilevel"/>
    <w:tmpl w:val="7E74BD64"/>
    <w:lvl w:ilvl="0" w:tplc="FFFFFFFF">
      <w:start w:val="1"/>
      <w:numFmt w:val="decimal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D730BB"/>
    <w:multiLevelType w:val="hybridMultilevel"/>
    <w:tmpl w:val="612E778C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FFFFFFFF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3092038"/>
    <w:multiLevelType w:val="hybridMultilevel"/>
    <w:tmpl w:val="4300C06A"/>
    <w:lvl w:ilvl="0" w:tplc="38090011">
      <w:start w:val="1"/>
      <w:numFmt w:val="decimal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4670E6F"/>
    <w:multiLevelType w:val="multilevel"/>
    <w:tmpl w:val="D0EC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39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72" w:hanging="1800"/>
      </w:pPr>
      <w:rPr>
        <w:rFonts w:hint="default"/>
      </w:rPr>
    </w:lvl>
  </w:abstractNum>
  <w:abstractNum w:abstractNumId="5" w15:restartNumberingAfterBreak="0">
    <w:nsid w:val="0F2F4155"/>
    <w:multiLevelType w:val="hybridMultilevel"/>
    <w:tmpl w:val="78B8C57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DE5A24"/>
    <w:multiLevelType w:val="hybridMultilevel"/>
    <w:tmpl w:val="D7A2E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25BD4"/>
    <w:multiLevelType w:val="multilevel"/>
    <w:tmpl w:val="5C5A4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154B2315"/>
    <w:multiLevelType w:val="hybridMultilevel"/>
    <w:tmpl w:val="5C769F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61285"/>
    <w:multiLevelType w:val="hybridMultilevel"/>
    <w:tmpl w:val="796A6780"/>
    <w:lvl w:ilvl="0" w:tplc="FFFFFFFF">
      <w:start w:val="1"/>
      <w:numFmt w:val="decimal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199B0CC7"/>
    <w:multiLevelType w:val="hybridMultilevel"/>
    <w:tmpl w:val="CEAE9D64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806523"/>
    <w:multiLevelType w:val="hybridMultilevel"/>
    <w:tmpl w:val="1AF6B07A"/>
    <w:lvl w:ilvl="0" w:tplc="DC7E5316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21A7003"/>
    <w:multiLevelType w:val="hybridMultilevel"/>
    <w:tmpl w:val="8D986AEE"/>
    <w:lvl w:ilvl="0" w:tplc="38090017">
      <w:start w:val="1"/>
      <w:numFmt w:val="lowerLetter"/>
      <w:lvlText w:val="%1)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2A2489B"/>
    <w:multiLevelType w:val="hybridMultilevel"/>
    <w:tmpl w:val="2C123D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748A4"/>
    <w:multiLevelType w:val="hybridMultilevel"/>
    <w:tmpl w:val="198A16A0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2B09D0"/>
    <w:multiLevelType w:val="hybridMultilevel"/>
    <w:tmpl w:val="AEA0AE8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69845E9"/>
    <w:multiLevelType w:val="hybridMultilevel"/>
    <w:tmpl w:val="73BC775E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C87D89"/>
    <w:multiLevelType w:val="hybridMultilevel"/>
    <w:tmpl w:val="913404AE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462F67"/>
    <w:multiLevelType w:val="hybridMultilevel"/>
    <w:tmpl w:val="60389DCA"/>
    <w:lvl w:ilvl="0" w:tplc="FFFFFFFF">
      <w:start w:val="1"/>
      <w:numFmt w:val="decimal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0DD3FD6"/>
    <w:multiLevelType w:val="hybridMultilevel"/>
    <w:tmpl w:val="612E778C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6A81BA3"/>
    <w:multiLevelType w:val="hybridMultilevel"/>
    <w:tmpl w:val="F5541A4A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971ABA"/>
    <w:multiLevelType w:val="hybridMultilevel"/>
    <w:tmpl w:val="132E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07C20"/>
    <w:multiLevelType w:val="hybridMultilevel"/>
    <w:tmpl w:val="612E778C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DCC7976"/>
    <w:multiLevelType w:val="hybridMultilevel"/>
    <w:tmpl w:val="E0107C6E"/>
    <w:lvl w:ilvl="0" w:tplc="FFFFFFFF">
      <w:start w:val="1"/>
      <w:numFmt w:val="decimal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3F4868DD"/>
    <w:multiLevelType w:val="hybridMultilevel"/>
    <w:tmpl w:val="5C72DF98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4C7E8F"/>
    <w:multiLevelType w:val="multilevel"/>
    <w:tmpl w:val="7618E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7570AA0"/>
    <w:multiLevelType w:val="hybridMultilevel"/>
    <w:tmpl w:val="8482DC62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0DB361D"/>
    <w:multiLevelType w:val="hybridMultilevel"/>
    <w:tmpl w:val="7400A9AC"/>
    <w:lvl w:ilvl="0" w:tplc="3809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8" w15:restartNumberingAfterBreak="0">
    <w:nsid w:val="519A3D80"/>
    <w:multiLevelType w:val="hybridMultilevel"/>
    <w:tmpl w:val="074E9926"/>
    <w:lvl w:ilvl="0" w:tplc="3809000F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55100C3B"/>
    <w:multiLevelType w:val="hybridMultilevel"/>
    <w:tmpl w:val="D9063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04966"/>
    <w:multiLevelType w:val="hybridMultilevel"/>
    <w:tmpl w:val="2312C312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143A35"/>
    <w:multiLevelType w:val="hybridMultilevel"/>
    <w:tmpl w:val="2C12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D4E04"/>
    <w:multiLevelType w:val="hybridMultilevel"/>
    <w:tmpl w:val="8902B054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FA9E365C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D7A4E00"/>
    <w:multiLevelType w:val="hybridMultilevel"/>
    <w:tmpl w:val="2A08ED6E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F11685F"/>
    <w:multiLevelType w:val="hybridMultilevel"/>
    <w:tmpl w:val="4300C06A"/>
    <w:lvl w:ilvl="0" w:tplc="FFFFFFFF">
      <w:start w:val="1"/>
      <w:numFmt w:val="decimal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60C41AC6"/>
    <w:multiLevelType w:val="hybridMultilevel"/>
    <w:tmpl w:val="9DA0B1E0"/>
    <w:lvl w:ilvl="0" w:tplc="38090011">
      <w:start w:val="1"/>
      <w:numFmt w:val="decimal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60FE2ED5"/>
    <w:multiLevelType w:val="hybridMultilevel"/>
    <w:tmpl w:val="95E04B42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893F7A"/>
    <w:multiLevelType w:val="hybridMultilevel"/>
    <w:tmpl w:val="D90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2539B"/>
    <w:multiLevelType w:val="hybridMultilevel"/>
    <w:tmpl w:val="78B8C57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D12F53"/>
    <w:multiLevelType w:val="hybridMultilevel"/>
    <w:tmpl w:val="78B8C5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E13282"/>
    <w:multiLevelType w:val="hybridMultilevel"/>
    <w:tmpl w:val="990C07D8"/>
    <w:lvl w:ilvl="0" w:tplc="3A3C8E6C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D7B2343"/>
    <w:multiLevelType w:val="hybridMultilevel"/>
    <w:tmpl w:val="4FDADD5E"/>
    <w:lvl w:ilvl="0" w:tplc="FFFFFFFF">
      <w:start w:val="1"/>
      <w:numFmt w:val="decimal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614291036">
    <w:abstractNumId w:val="39"/>
  </w:num>
  <w:num w:numId="2" w16cid:durableId="629018325">
    <w:abstractNumId w:val="38"/>
  </w:num>
  <w:num w:numId="3" w16cid:durableId="197473369">
    <w:abstractNumId w:val="5"/>
  </w:num>
  <w:num w:numId="4" w16cid:durableId="1872718229">
    <w:abstractNumId w:val="26"/>
  </w:num>
  <w:num w:numId="5" w16cid:durableId="461308379">
    <w:abstractNumId w:val="33"/>
  </w:num>
  <w:num w:numId="6" w16cid:durableId="7063695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6777968">
    <w:abstractNumId w:val="8"/>
  </w:num>
  <w:num w:numId="8" w16cid:durableId="1398548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12491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800474">
    <w:abstractNumId w:val="31"/>
  </w:num>
  <w:num w:numId="11" w16cid:durableId="1337614875">
    <w:abstractNumId w:val="0"/>
  </w:num>
  <w:num w:numId="12" w16cid:durableId="1409839691">
    <w:abstractNumId w:val="29"/>
  </w:num>
  <w:num w:numId="13" w16cid:durableId="1585067029">
    <w:abstractNumId w:val="20"/>
  </w:num>
  <w:num w:numId="14" w16cid:durableId="1541630280">
    <w:abstractNumId w:val="24"/>
  </w:num>
  <w:num w:numId="15" w16cid:durableId="902908596">
    <w:abstractNumId w:val="17"/>
  </w:num>
  <w:num w:numId="16" w16cid:durableId="421529052">
    <w:abstractNumId w:val="28"/>
  </w:num>
  <w:num w:numId="17" w16cid:durableId="252469636">
    <w:abstractNumId w:val="25"/>
  </w:num>
  <w:num w:numId="18" w16cid:durableId="837187790">
    <w:abstractNumId w:val="27"/>
  </w:num>
  <w:num w:numId="19" w16cid:durableId="1655715773">
    <w:abstractNumId w:val="4"/>
  </w:num>
  <w:num w:numId="20" w16cid:durableId="1960913337">
    <w:abstractNumId w:val="32"/>
  </w:num>
  <w:num w:numId="21" w16cid:durableId="1112867329">
    <w:abstractNumId w:val="2"/>
  </w:num>
  <w:num w:numId="22" w16cid:durableId="885027799">
    <w:abstractNumId w:val="22"/>
  </w:num>
  <w:num w:numId="23" w16cid:durableId="491675166">
    <w:abstractNumId w:val="35"/>
  </w:num>
  <w:num w:numId="24" w16cid:durableId="747774243">
    <w:abstractNumId w:val="3"/>
  </w:num>
  <w:num w:numId="25" w16cid:durableId="768505220">
    <w:abstractNumId w:val="1"/>
  </w:num>
  <w:num w:numId="26" w16cid:durableId="628821800">
    <w:abstractNumId w:val="9"/>
  </w:num>
  <w:num w:numId="27" w16cid:durableId="2111925983">
    <w:abstractNumId w:val="12"/>
  </w:num>
  <w:num w:numId="28" w16cid:durableId="2064716569">
    <w:abstractNumId w:val="23"/>
  </w:num>
  <w:num w:numId="29" w16cid:durableId="1821538832">
    <w:abstractNumId w:val="41"/>
  </w:num>
  <w:num w:numId="30" w16cid:durableId="852110029">
    <w:abstractNumId w:val="18"/>
  </w:num>
  <w:num w:numId="31" w16cid:durableId="459231773">
    <w:abstractNumId w:val="15"/>
  </w:num>
  <w:num w:numId="32" w16cid:durableId="1376806633">
    <w:abstractNumId w:val="34"/>
  </w:num>
  <w:num w:numId="33" w16cid:durableId="1773159789">
    <w:abstractNumId w:val="40"/>
  </w:num>
  <w:num w:numId="34" w16cid:durableId="1272861431">
    <w:abstractNumId w:val="11"/>
  </w:num>
  <w:num w:numId="35" w16cid:durableId="789319707">
    <w:abstractNumId w:val="13"/>
  </w:num>
  <w:num w:numId="36" w16cid:durableId="616374496">
    <w:abstractNumId w:val="19"/>
  </w:num>
  <w:num w:numId="37" w16cid:durableId="370040132">
    <w:abstractNumId w:val="30"/>
  </w:num>
  <w:num w:numId="38" w16cid:durableId="1916936961">
    <w:abstractNumId w:val="10"/>
  </w:num>
  <w:num w:numId="39" w16cid:durableId="1713772281">
    <w:abstractNumId w:val="6"/>
  </w:num>
  <w:num w:numId="40" w16cid:durableId="550967332">
    <w:abstractNumId w:val="36"/>
  </w:num>
  <w:num w:numId="41" w16cid:durableId="140734625">
    <w:abstractNumId w:val="16"/>
  </w:num>
  <w:num w:numId="42" w16cid:durableId="10833390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5A"/>
    <w:rsid w:val="000C4FAA"/>
    <w:rsid w:val="00155FE9"/>
    <w:rsid w:val="002144D8"/>
    <w:rsid w:val="00246A4B"/>
    <w:rsid w:val="00422052"/>
    <w:rsid w:val="004830AB"/>
    <w:rsid w:val="004B4FCF"/>
    <w:rsid w:val="005A6F21"/>
    <w:rsid w:val="007628B7"/>
    <w:rsid w:val="0081305A"/>
    <w:rsid w:val="00897D9B"/>
    <w:rsid w:val="00A16BAC"/>
    <w:rsid w:val="00AA4B39"/>
    <w:rsid w:val="00F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F4674"/>
  <w15:chartTrackingRefBased/>
  <w15:docId w15:val="{81A704BD-04FB-4E6B-987C-22FFDDE8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05A"/>
    <w:pPr>
      <w:spacing w:after="4" w:line="360" w:lineRule="auto"/>
      <w:ind w:left="8" w:right="60" w:hanging="8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 w:eastAsia="en-US" w:bidi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81305A"/>
    <w:pPr>
      <w:keepNext/>
      <w:keepLines/>
      <w:spacing w:after="218" w:line="263" w:lineRule="auto"/>
      <w:ind w:left="10" w:right="66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val="id-ID" w:eastAsia="id-ID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81305A"/>
    <w:pPr>
      <w:keepNext/>
      <w:keepLines/>
      <w:spacing w:after="218" w:line="263" w:lineRule="auto"/>
      <w:ind w:left="10" w:right="66" w:hanging="10"/>
      <w:outlineLvl w:val="1"/>
    </w:pPr>
    <w:rPr>
      <w:rFonts w:ascii="Times New Roman" w:eastAsia="Times New Roman" w:hAnsi="Times New Roman" w:cs="Times New Roman"/>
      <w:b/>
      <w:color w:val="000000"/>
      <w:kern w:val="0"/>
      <w:sz w:val="24"/>
      <w:lang w:val="id-ID" w:eastAsia="id-ID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0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305A"/>
    <w:rPr>
      <w:rFonts w:ascii="Times New Roman" w:eastAsia="Times New Roman" w:hAnsi="Times New Roman" w:cs="Times New Roman"/>
      <w:b/>
      <w:color w:val="000000"/>
      <w:kern w:val="0"/>
      <w:sz w:val="24"/>
      <w:lang w:val="id-ID" w:eastAsia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1305A"/>
    <w:rPr>
      <w:rFonts w:ascii="Times New Roman" w:eastAsia="Times New Roman" w:hAnsi="Times New Roman" w:cs="Times New Roman"/>
      <w:b/>
      <w:color w:val="000000"/>
      <w:kern w:val="0"/>
      <w:sz w:val="24"/>
      <w:lang w:val="id-ID" w:eastAsia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05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 w:eastAsia="en-US" w:bidi="en-US"/>
      <w14:ligatures w14:val="none"/>
    </w:rPr>
  </w:style>
  <w:style w:type="paragraph" w:styleId="TOC1">
    <w:name w:val="toc 1"/>
    <w:hidden/>
    <w:uiPriority w:val="39"/>
    <w:rsid w:val="0081305A"/>
    <w:pPr>
      <w:spacing w:after="112"/>
      <w:ind w:left="23" w:right="29" w:hanging="8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id-ID" w:eastAsia="id-ID"/>
      <w14:ligatures w14:val="none"/>
    </w:rPr>
  </w:style>
  <w:style w:type="paragraph" w:styleId="TOC2">
    <w:name w:val="toc 2"/>
    <w:hidden/>
    <w:uiPriority w:val="39"/>
    <w:rsid w:val="0081305A"/>
    <w:pPr>
      <w:spacing w:after="112"/>
      <w:ind w:left="438" w:right="29" w:hanging="8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id-ID" w:eastAsia="id-ID"/>
      <w14:ligatures w14:val="none"/>
    </w:rPr>
  </w:style>
  <w:style w:type="table" w:customStyle="1" w:styleId="TableGrid">
    <w:name w:val="TableGrid"/>
    <w:rsid w:val="0081305A"/>
    <w:pPr>
      <w:spacing w:after="0" w:line="240" w:lineRule="auto"/>
    </w:pPr>
    <w:rPr>
      <w:kern w:val="0"/>
      <w:lang w:val="id-ID" w:eastAsia="id-ID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130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05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130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5A"/>
    <w:rPr>
      <w:rFonts w:ascii="Segoe UI" w:eastAsia="Times New Roman" w:hAnsi="Segoe UI" w:cs="Segoe UI"/>
      <w:color w:val="000000"/>
      <w:kern w:val="0"/>
      <w:sz w:val="18"/>
      <w:szCs w:val="18"/>
      <w:lang w:val="en-US" w:eastAsia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305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1305A"/>
    <w:rPr>
      <w:rFonts w:cs="Times New Roman"/>
      <w:kern w:val="0"/>
      <w:lang w:val="en-US" w:eastAsia="en-US"/>
      <w14:ligatures w14:val="none"/>
    </w:rPr>
  </w:style>
  <w:style w:type="table" w:styleId="TableGrid0">
    <w:name w:val="Table Grid"/>
    <w:basedOn w:val="TableNormal"/>
    <w:uiPriority w:val="39"/>
    <w:rsid w:val="0081305A"/>
    <w:pPr>
      <w:spacing w:after="0" w:line="240" w:lineRule="auto"/>
    </w:pPr>
    <w:rPr>
      <w:kern w:val="0"/>
      <w:lang w:val="id-ID"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81305A"/>
  </w:style>
  <w:style w:type="character" w:customStyle="1" w:styleId="vlist-s">
    <w:name w:val="vlist-s"/>
    <w:basedOn w:val="DefaultParagraphFont"/>
    <w:rsid w:val="0081305A"/>
  </w:style>
  <w:style w:type="character" w:styleId="UnresolvedMention">
    <w:name w:val="Unresolved Mention"/>
    <w:basedOn w:val="DefaultParagraphFont"/>
    <w:uiPriority w:val="99"/>
    <w:semiHidden/>
    <w:unhideWhenUsed/>
    <w:rsid w:val="0081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05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305A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81305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i.org/10.3390/s2303166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5F4EB906684C3AAEC40D09C6E0B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F8BB2-570F-424C-B564-BF26FB200827}"/>
      </w:docPartPr>
      <w:docPartBody>
        <w:p w:rsidR="00C12674" w:rsidRDefault="00E00D84" w:rsidP="00E00D84">
          <w:pPr>
            <w:pStyle w:val="985F4EB906684C3AAEC40D09C6E0BAC2"/>
          </w:pPr>
          <w:r w:rsidRPr="00EC22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84"/>
    <w:rsid w:val="003859AE"/>
    <w:rsid w:val="00C12674"/>
    <w:rsid w:val="00E00D84"/>
    <w:rsid w:val="00E37205"/>
    <w:rsid w:val="00F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D84"/>
    <w:rPr>
      <w:color w:val="666666"/>
    </w:rPr>
  </w:style>
  <w:style w:type="paragraph" w:customStyle="1" w:styleId="985F4EB906684C3AAEC40D09C6E0BAC2">
    <w:name w:val="985F4EB906684C3AAEC40D09C6E0BAC2"/>
    <w:rsid w:val="00E00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2024-10-25T11:15:00Z</dcterms:created>
  <dcterms:modified xsi:type="dcterms:W3CDTF">2024-11-04T07:24:00Z</dcterms:modified>
</cp:coreProperties>
</file>