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AC4C" w14:textId="3828F9B1" w:rsidR="005E5525" w:rsidRPr="00AE4B4C" w:rsidRDefault="00CF4AA0" w:rsidP="00F8653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5E5525" w:rsidRPr="00AE4B4C" w:rsidSect="00DF0A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75" w:right="1699" w:bottom="1699" w:left="2275" w:header="720" w:footer="720" w:gutter="0"/>
          <w:pgNumType w:start="1"/>
          <w:cols w:space="720"/>
          <w:docGrid w:linePitch="360"/>
        </w:sectPr>
      </w:pPr>
      <w:bookmarkStart w:id="0" w:name="_Toc17392640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</w:t>
      </w:r>
      <w:r w:rsidR="005E5525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 I</w:t>
      </w:r>
      <w:r w:rsidR="00AE4B4C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textWrapping" w:clear="all"/>
      </w:r>
      <w:r w:rsidR="00AE4B4C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  <w:bookmarkEnd w:id="0"/>
    </w:p>
    <w:p w14:paraId="10519A82" w14:textId="77777777" w:rsidR="005E5525" w:rsidRDefault="005E5525" w:rsidP="00A168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11F81" w14:textId="1176166B" w:rsidR="005E5525" w:rsidRPr="00AE4B4C" w:rsidRDefault="005E5525" w:rsidP="00F86531">
      <w:pPr>
        <w:pStyle w:val="Heading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926402"/>
      <w:r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Latar </w:t>
      </w:r>
      <w:proofErr w:type="spellStart"/>
      <w:r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bookmarkEnd w:id="1"/>
      <w:proofErr w:type="spellEnd"/>
    </w:p>
    <w:p w14:paraId="52F39475" w14:textId="5A5970F2" w:rsidR="004D4286" w:rsidRDefault="004D4286" w:rsidP="00F86531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pasar yang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pasar.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dalam 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9D">
        <w:rPr>
          <w:rFonts w:ascii="Times New Roman" w:hAnsi="Times New Roman" w:cs="Times New Roman"/>
          <w:sz w:val="24"/>
          <w:szCs w:val="24"/>
        </w:rPr>
        <w:t xml:space="preserve">dengan dana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Melalui pasar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modal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6B4F99"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973DE" w14:textId="03E17E74" w:rsidR="00DF0A77" w:rsidRDefault="004D4286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  <w:sectPr w:rsidR="00DF0A77" w:rsidSect="00D46092">
          <w:type w:val="continuous"/>
          <w:pgSz w:w="11906" w:h="16838" w:code="9"/>
          <w:pgMar w:top="2275" w:right="1699" w:bottom="1699" w:left="2275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Fluktuasi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E4"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bisa saja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seperti PT. Delta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(DLTA), PT. Indofood CBP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Makmur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(ICBP), PT. Indofood</w:t>
      </w:r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Makmur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. </w:t>
      </w:r>
      <w:r w:rsidR="00FC0223">
        <w:rPr>
          <w:rFonts w:ascii="Times New Roman" w:hAnsi="Times New Roman" w:cs="Times New Roman"/>
          <w:sz w:val="24"/>
          <w:szCs w:val="24"/>
        </w:rPr>
        <w:t xml:space="preserve">(INDF), PT. Multi Bintang Indonesia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 w:rsidR="00FC0223">
        <w:rPr>
          <w:rFonts w:ascii="Times New Roman" w:hAnsi="Times New Roman" w:cs="Times New Roman"/>
          <w:sz w:val="24"/>
          <w:szCs w:val="24"/>
        </w:rPr>
        <w:t xml:space="preserve"> (MLBI), PT. Mayora Indah</w:t>
      </w:r>
      <w:r w:rsidR="00EF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 w:rsidR="00FC0223">
        <w:rPr>
          <w:rFonts w:ascii="Times New Roman" w:hAnsi="Times New Roman" w:cs="Times New Roman"/>
          <w:sz w:val="24"/>
          <w:szCs w:val="24"/>
        </w:rPr>
        <w:t xml:space="preserve"> (MYOR), PT. Nippon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Indosari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Corporindo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 w:rsidR="00FC0223">
        <w:rPr>
          <w:rFonts w:ascii="Times New Roman" w:hAnsi="Times New Roman" w:cs="Times New Roman"/>
          <w:sz w:val="24"/>
          <w:szCs w:val="24"/>
        </w:rPr>
        <w:t xml:space="preserve"> (ROTI), PT.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Siantar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 w:rsidR="00FC0223">
        <w:rPr>
          <w:rFonts w:ascii="Times New Roman" w:hAnsi="Times New Roman" w:cs="Times New Roman"/>
          <w:sz w:val="24"/>
          <w:szCs w:val="24"/>
        </w:rPr>
        <w:t xml:space="preserve"> (STTP) dan PT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Ultrajaya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Milk Industry and Trading Company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>.</w:t>
      </w:r>
      <w:r w:rsidR="00FC0223">
        <w:rPr>
          <w:rFonts w:ascii="Times New Roman" w:hAnsi="Times New Roman" w:cs="Times New Roman"/>
          <w:sz w:val="24"/>
          <w:szCs w:val="24"/>
        </w:rPr>
        <w:t xml:space="preserve"> (ULTJ). </w:t>
      </w:r>
      <w:r w:rsidR="00FC0223" w:rsidRPr="00627628">
        <w:rPr>
          <w:rFonts w:ascii="Times New Roman" w:hAnsi="Times New Roman" w:cs="Times New Roman"/>
          <w:sz w:val="24"/>
          <w:szCs w:val="24"/>
        </w:rPr>
        <w:t>Perusahaan-</w:t>
      </w:r>
      <w:proofErr w:type="spellStart"/>
      <w:r w:rsidR="00FC0223" w:rsidRPr="0062762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27628" w:rsidRPr="00627628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627628" w:rsidRPr="006276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27628" w:rsidRPr="00627628">
        <w:rPr>
          <w:rFonts w:ascii="Times New Roman" w:hAnsi="Times New Roman" w:cs="Times New Roman"/>
          <w:sz w:val="24"/>
          <w:szCs w:val="24"/>
        </w:rPr>
        <w:t xml:space="preserve"> bagian </w:t>
      </w:r>
      <w:proofErr w:type="spellStart"/>
      <w:r w:rsidR="00627628" w:rsidRPr="006276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27628" w:rsidRPr="00627628">
        <w:rPr>
          <w:rFonts w:ascii="Times New Roman" w:hAnsi="Times New Roman" w:cs="Times New Roman"/>
          <w:sz w:val="24"/>
          <w:szCs w:val="24"/>
        </w:rPr>
        <w:t xml:space="preserve"> </w:t>
      </w:r>
      <w:r w:rsidR="00FC0223" w:rsidRPr="00627628">
        <w:rPr>
          <w:rFonts w:ascii="Times New Roman" w:hAnsi="Times New Roman" w:cs="Times New Roman"/>
          <w:sz w:val="24"/>
          <w:szCs w:val="24"/>
        </w:rPr>
        <w:t>su</w:t>
      </w:r>
      <w:r w:rsidR="00FC0223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me</w:t>
      </w:r>
      <w:r w:rsidR="00EF6F9D">
        <w:rPr>
          <w:rFonts w:ascii="Times New Roman" w:hAnsi="Times New Roman" w:cs="Times New Roman"/>
          <w:sz w:val="24"/>
          <w:szCs w:val="24"/>
        </w:rPr>
        <w:t>menuhi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EF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9D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para investor.</w:t>
      </w:r>
    </w:p>
    <w:p w14:paraId="34575A1A" w14:textId="446F4889" w:rsidR="004D4286" w:rsidRDefault="004D4286" w:rsidP="00F86531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fluktuatif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6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0F"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1A1260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investor.</w:t>
      </w:r>
      <w:r w:rsidR="001A1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60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harga-harga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60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="001A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seperti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C3938" w14:textId="4F37C3CD" w:rsidR="00574F4A" w:rsidRDefault="00574F4A" w:rsidP="00F8653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871620"/>
      <w:bookmarkStart w:id="3" w:name="_Toc173871900"/>
      <w:bookmarkStart w:id="4" w:name="_Toc173926403"/>
      <w:proofErr w:type="spellStart"/>
      <w:r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Grafik</w:t>
      </w:r>
      <w:proofErr w:type="spellEnd"/>
      <w:r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1.1</w:t>
      </w:r>
      <w:r w:rsid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textWrapping" w:clear="all"/>
      </w:r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Harga Saham Perusahaan </w:t>
      </w:r>
      <w:proofErr w:type="spellStart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Makanan</w:t>
      </w:r>
      <w:proofErr w:type="spellEnd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Minuman</w:t>
      </w:r>
      <w:proofErr w:type="spellEnd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yang</w:t>
      </w:r>
      <w:r w:rsidR="00AE4B4C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textWrapping" w:clear="all"/>
      </w:r>
      <w:proofErr w:type="spellStart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Terdaftar</w:t>
      </w:r>
      <w:proofErr w:type="spellEnd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 Bursa </w:t>
      </w:r>
      <w:proofErr w:type="spellStart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Efek</w:t>
      </w:r>
      <w:proofErr w:type="spellEnd"/>
      <w:r w:rsidR="004D4286"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Indonesia 2019-202</w:t>
      </w:r>
      <w:r w:rsidRPr="00AE4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bookmarkEnd w:id="2"/>
      <w:bookmarkEnd w:id="3"/>
      <w:bookmarkEnd w:id="4"/>
    </w:p>
    <w:p w14:paraId="295F6199" w14:textId="68DC29D8" w:rsidR="00802060" w:rsidRPr="00802060" w:rsidRDefault="00802060" w:rsidP="00802060">
      <w:pPr>
        <w:ind w:left="720"/>
      </w:pPr>
      <w:r>
        <w:rPr>
          <w:noProof/>
        </w:rPr>
        <w:drawing>
          <wp:inline distT="0" distB="0" distL="0" distR="0" wp14:anchorId="64FF6DD6" wp14:editId="21162027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2DC71" w14:textId="269AA519" w:rsidR="004D4286" w:rsidRDefault="00574F4A" w:rsidP="00802060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(2024)</w:t>
      </w:r>
    </w:p>
    <w:p w14:paraId="7BFE70E2" w14:textId="77777777" w:rsidR="002A2A31" w:rsidRPr="00F86531" w:rsidRDefault="002A2A31" w:rsidP="00F86531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FC680" w14:textId="53170364" w:rsidR="004D4286" w:rsidRDefault="00627628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F4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MYOR, ROTI dan STTP</w:t>
      </w:r>
      <w:r w:rsidR="00FC0223">
        <w:rPr>
          <w:rFonts w:ascii="Times New Roman" w:hAnsi="Times New Roman" w:cs="Times New Roman"/>
          <w:sz w:val="24"/>
          <w:szCs w:val="24"/>
        </w:rPr>
        <w:t xml:space="preserve"> dengan masing-masing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r w:rsidR="00F5217F">
        <w:rPr>
          <w:rFonts w:ascii="Times New Roman" w:hAnsi="Times New Roman" w:cs="Times New Roman"/>
          <w:sz w:val="24"/>
          <w:szCs w:val="24"/>
        </w:rPr>
        <w:t xml:space="preserve">24.35%, 4.41%, dan 52.63%,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meng</w:t>
      </w:r>
      <w:r w:rsidR="001A1260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22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C0223">
        <w:rPr>
          <w:rFonts w:ascii="Times New Roman" w:hAnsi="Times New Roman" w:cs="Times New Roman"/>
          <w:sz w:val="24"/>
          <w:szCs w:val="24"/>
        </w:rPr>
        <w:t xml:space="preserve"> DLTA, ICBP, INDF, MLBI, MYOR,</w:t>
      </w:r>
      <w:r w:rsidR="001A1260">
        <w:rPr>
          <w:rFonts w:ascii="Times New Roman" w:hAnsi="Times New Roman" w:cs="Times New Roman"/>
          <w:sz w:val="24"/>
          <w:szCs w:val="24"/>
        </w:rPr>
        <w:t xml:space="preserve"> </w:t>
      </w:r>
      <w:r w:rsidR="00FC0223">
        <w:rPr>
          <w:rFonts w:ascii="Times New Roman" w:hAnsi="Times New Roman" w:cs="Times New Roman"/>
          <w:sz w:val="24"/>
          <w:szCs w:val="24"/>
        </w:rPr>
        <w:t xml:space="preserve">STTP dan ULTJ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ROTI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F52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 w:rsidR="00F52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5217F">
        <w:rPr>
          <w:rFonts w:ascii="Times New Roman" w:hAnsi="Times New Roman" w:cs="Times New Roman"/>
          <w:sz w:val="24"/>
          <w:szCs w:val="24"/>
        </w:rPr>
        <w:t>.</w:t>
      </w:r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r w:rsidR="004D428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meng</w:t>
      </w:r>
      <w:r w:rsidR="001A1260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lastRenderedPageBreak/>
        <w:t>saham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ROTI dan ULTJ </w:t>
      </w:r>
      <w:r w:rsidR="002108D0">
        <w:rPr>
          <w:rFonts w:ascii="Times New Roman" w:hAnsi="Times New Roman" w:cs="Times New Roman"/>
          <w:sz w:val="24"/>
          <w:szCs w:val="24"/>
        </w:rPr>
        <w:t xml:space="preserve">dengan masing-masing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5217F">
        <w:rPr>
          <w:rFonts w:ascii="Times New Roman" w:hAnsi="Times New Roman" w:cs="Times New Roman"/>
          <w:sz w:val="24"/>
          <w:szCs w:val="24"/>
        </w:rPr>
        <w:t xml:space="preserve"> 2.94% dan 6.05%</w:t>
      </w:r>
      <w:r w:rsidR="00210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ICBP, STTP dan ULJT</w:t>
      </w:r>
      <w:r w:rsidR="002108D0">
        <w:rPr>
          <w:rFonts w:ascii="Times New Roman" w:hAnsi="Times New Roman" w:cs="Times New Roman"/>
          <w:sz w:val="24"/>
          <w:szCs w:val="24"/>
        </w:rPr>
        <w:t xml:space="preserve"> dengan masing-masing </w:t>
      </w:r>
      <w:proofErr w:type="spellStart"/>
      <w:r w:rsidR="00F5217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21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5217F">
        <w:rPr>
          <w:rFonts w:ascii="Times New Roman" w:hAnsi="Times New Roman" w:cs="Times New Roman"/>
          <w:sz w:val="24"/>
          <w:szCs w:val="24"/>
        </w:rPr>
        <w:t xml:space="preserve"> 5.67%, 18.40% dan 7.81%</w:t>
      </w:r>
      <w:r w:rsidR="00210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28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D4286">
        <w:rPr>
          <w:rFonts w:ascii="Times New Roman" w:hAnsi="Times New Roman" w:cs="Times New Roman"/>
          <w:sz w:val="24"/>
          <w:szCs w:val="24"/>
        </w:rPr>
        <w:t>.</w:t>
      </w:r>
    </w:p>
    <w:p w14:paraId="693EE21B" w14:textId="4FAEC2FD" w:rsidR="004D4286" w:rsidRDefault="004D4286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tersebut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1A12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1A12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3F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keuangan tersebut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3AC2">
        <w:rPr>
          <w:rFonts w:ascii="Times New Roman" w:hAnsi="Times New Roman" w:cs="Times New Roman"/>
          <w:sz w:val="24"/>
          <w:szCs w:val="24"/>
        </w:rPr>
        <w:t xml:space="preserve">  </w:t>
      </w:r>
      <w:r w:rsidRPr="00453AC2">
        <w:rPr>
          <w:rFonts w:ascii="Times New Roman" w:hAnsi="Times New Roman" w:cs="Times New Roman"/>
          <w:i/>
          <w:iCs/>
          <w:sz w:val="24"/>
          <w:szCs w:val="24"/>
        </w:rPr>
        <w:t>Return</w:t>
      </w:r>
      <w:proofErr w:type="gramEnd"/>
      <w:r w:rsidRPr="00453AC2">
        <w:rPr>
          <w:rFonts w:ascii="Times New Roman" w:hAnsi="Times New Roman" w:cs="Times New Roman"/>
          <w:i/>
          <w:iCs/>
          <w:sz w:val="24"/>
          <w:szCs w:val="24"/>
        </w:rPr>
        <w:t xml:space="preserve"> On Asset </w:t>
      </w:r>
      <w:r w:rsidRPr="00453AC2">
        <w:rPr>
          <w:rFonts w:ascii="Times New Roman" w:hAnsi="Times New Roman" w:cs="Times New Roman"/>
          <w:sz w:val="24"/>
          <w:szCs w:val="24"/>
        </w:rPr>
        <w:t xml:space="preserve">(ROA), </w:t>
      </w:r>
      <w:r w:rsidRPr="00453AC2"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 w:rsidRPr="00453AC2">
        <w:rPr>
          <w:rFonts w:ascii="Times New Roman" w:hAnsi="Times New Roman" w:cs="Times New Roman"/>
          <w:sz w:val="24"/>
          <w:szCs w:val="24"/>
        </w:rPr>
        <w:t xml:space="preserve">(ROE), dan </w:t>
      </w:r>
      <w:r w:rsidRPr="00453AC2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453AC2">
        <w:rPr>
          <w:rFonts w:ascii="Times New Roman" w:hAnsi="Times New Roman" w:cs="Times New Roman"/>
          <w:sz w:val="24"/>
          <w:szCs w:val="24"/>
        </w:rPr>
        <w:t xml:space="preserve">(NPM). </w:t>
      </w:r>
    </w:p>
    <w:p w14:paraId="20A0C768" w14:textId="49C88846" w:rsidR="00FC0223" w:rsidRDefault="00FC0223" w:rsidP="00FC0223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spellStart"/>
      <w:r w:rsidRPr="008003C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80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3C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0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B16F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B16F3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3F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r w:rsidR="00B16F3F" w:rsidRPr="00B16F3F">
        <w:rPr>
          <w:rFonts w:ascii="Times New Roman" w:hAnsi="Times New Roman" w:cs="Times New Roman"/>
          <w:sz w:val="24"/>
          <w:szCs w:val="24"/>
        </w:rPr>
        <w:t>pada</w:t>
      </w:r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tersebut.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r w:rsidRPr="00B16F3F">
        <w:rPr>
          <w:rFonts w:ascii="Times New Roman" w:hAnsi="Times New Roman" w:cs="Times New Roman"/>
          <w:i/>
          <w:iCs/>
          <w:sz w:val="24"/>
          <w:szCs w:val="24"/>
        </w:rPr>
        <w:t>return</w:t>
      </w:r>
      <w:r w:rsidRPr="00B16F3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27364F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27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64F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r w:rsidRPr="00B16F3F">
        <w:rPr>
          <w:rFonts w:ascii="Times New Roman" w:hAnsi="Times New Roman" w:cs="Times New Roman"/>
          <w:i/>
          <w:iCs/>
          <w:sz w:val="24"/>
          <w:szCs w:val="24"/>
        </w:rPr>
        <w:t>return</w:t>
      </w:r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64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investor tersebut </w:t>
      </w:r>
      <w:proofErr w:type="spellStart"/>
      <w:r w:rsidR="0027364F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men</w:t>
      </w:r>
      <w:r w:rsidR="00B16F3F" w:rsidRPr="00B16F3F"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pula, d</w:t>
      </w:r>
      <w:r w:rsidR="00B16F3F" w:rsidRPr="00B16F3F">
        <w:rPr>
          <w:rFonts w:ascii="Times New Roman" w:hAnsi="Times New Roman" w:cs="Times New Roman"/>
          <w:sz w:val="24"/>
          <w:szCs w:val="24"/>
        </w:rPr>
        <w:t xml:space="preserve">alam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meng</w:t>
      </w:r>
      <w:r w:rsidR="00B16F3F" w:rsidRPr="00B16F3F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r w:rsidRPr="00B16F3F">
        <w:rPr>
          <w:rFonts w:ascii="Times New Roman" w:hAnsi="Times New Roman" w:cs="Times New Roman"/>
          <w:i/>
          <w:iCs/>
          <w:sz w:val="24"/>
          <w:szCs w:val="24"/>
        </w:rPr>
        <w:t>return</w:t>
      </w:r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ditanggungnya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16F3F" w:rsidRPr="00B16F3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sendiri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ketidakberuntungan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F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B16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51C32" w14:textId="237583F8" w:rsidR="004D4286" w:rsidRPr="00640B1E" w:rsidRDefault="004D4286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155"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menggambaran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k</w:t>
      </w:r>
      <w:r w:rsidR="00283155" w:rsidRPr="00283155">
        <w:rPr>
          <w:rFonts w:ascii="Times New Roman" w:hAnsi="Times New Roman" w:cs="Times New Roman"/>
          <w:sz w:val="24"/>
          <w:szCs w:val="24"/>
        </w:rPr>
        <w:t>ecakapan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me</w:t>
      </w:r>
      <w:r w:rsidR="00283155" w:rsidRPr="00283155">
        <w:rPr>
          <w:rFonts w:ascii="Times New Roman" w:hAnsi="Times New Roman" w:cs="Times New Roman"/>
          <w:sz w:val="24"/>
          <w:szCs w:val="24"/>
        </w:rPr>
        <w:t>nggunakan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3155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283155">
        <w:rPr>
          <w:rFonts w:ascii="Times New Roman" w:hAnsi="Times New Roman" w:cs="Times New Roman"/>
          <w:sz w:val="24"/>
          <w:szCs w:val="24"/>
        </w:rPr>
        <w:t xml:space="preserve"> ini</w:t>
      </w:r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rasionya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perputaran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83155" w:rsidRPr="00283155">
        <w:rPr>
          <w:rFonts w:ascii="Times New Roman" w:hAnsi="Times New Roman" w:cs="Times New Roman"/>
          <w:sz w:val="24"/>
          <w:szCs w:val="24"/>
        </w:rPr>
        <w:t xml:space="preserve"> pada</w:t>
      </w:r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men</w:t>
      </w:r>
      <w:r w:rsidR="00283155" w:rsidRPr="00283155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di</w:t>
      </w:r>
      <w:r w:rsidR="00283155" w:rsidRPr="002831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="00283155"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155" w:rsidRPr="002831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83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1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283155">
        <w:rPr>
          <w:rFonts w:ascii="Times New Roman" w:hAnsi="Times New Roman" w:cs="Times New Roman"/>
          <w:sz w:val="24"/>
          <w:szCs w:val="24"/>
        </w:rPr>
        <w:t xml:space="preserve"> tersebut.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83B5" w14:textId="311C8584" w:rsidR="004D4286" w:rsidRDefault="004D4286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384">
        <w:rPr>
          <w:rFonts w:ascii="Times New Roman" w:hAnsi="Times New Roman" w:cs="Times New Roman"/>
          <w:i/>
          <w:iCs/>
          <w:sz w:val="24"/>
          <w:szCs w:val="24"/>
        </w:rPr>
        <w:lastRenderedPageBreak/>
        <w:t>Return On Equity</w:t>
      </w:r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64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ke</w:t>
      </w:r>
      <w:r w:rsidR="00283155" w:rsidRPr="00EB3384">
        <w:rPr>
          <w:rFonts w:ascii="Times New Roman" w:hAnsi="Times New Roman" w:cs="Times New Roman"/>
          <w:sz w:val="24"/>
          <w:szCs w:val="24"/>
        </w:rPr>
        <w:t>cakapan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e</w:t>
      </w:r>
      <w:r w:rsidR="007F7446" w:rsidRPr="00EB3384">
        <w:rPr>
          <w:rFonts w:ascii="Times New Roman" w:hAnsi="Times New Roman" w:cs="Times New Roman"/>
          <w:sz w:val="24"/>
          <w:szCs w:val="24"/>
        </w:rPr>
        <w:t>k</w:t>
      </w:r>
      <w:r w:rsidRPr="00EB3384">
        <w:rPr>
          <w:rFonts w:ascii="Times New Roman" w:hAnsi="Times New Roman" w:cs="Times New Roman"/>
          <w:sz w:val="24"/>
          <w:szCs w:val="24"/>
        </w:rPr>
        <w:t>uitas</w:t>
      </w:r>
      <w:proofErr w:type="spellEnd"/>
      <w:r w:rsidRPr="00EB3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r w:rsidR="00EB3384" w:rsidRPr="00EB3384">
        <w:rPr>
          <w:rFonts w:ascii="Times New Roman" w:hAnsi="Times New Roman" w:cs="Times New Roman"/>
          <w:sz w:val="24"/>
          <w:szCs w:val="24"/>
        </w:rPr>
        <w:t>untuk</w:t>
      </w:r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me</w:t>
      </w:r>
      <w:r w:rsidR="00EB3384" w:rsidRPr="00EB3384">
        <w:rPr>
          <w:rFonts w:ascii="Times New Roman" w:hAnsi="Times New Roman" w:cs="Times New Roman"/>
          <w:sz w:val="24"/>
          <w:szCs w:val="24"/>
        </w:rPr>
        <w:t>mperoleh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di</w:t>
      </w:r>
      <w:r w:rsidR="00EB3384" w:rsidRPr="00EB33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B3384" w:rsidRPr="00EB3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rasionya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="00EB3384" w:rsidRPr="00EB3384">
        <w:rPr>
          <w:rFonts w:ascii="Times New Roman" w:hAnsi="Times New Roman" w:cs="Times New Roman"/>
          <w:sz w:val="24"/>
          <w:szCs w:val="24"/>
        </w:rPr>
        <w:t xml:space="preserve"> ini</w:t>
      </w:r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EB3384"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EB338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investor dan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menyebabnya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r w:rsidRPr="00EB338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8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 xml:space="preserve"> tersebut.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6C8E" w14:textId="1493AF8D" w:rsidR="004D4286" w:rsidRDefault="004D4286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384">
        <w:rPr>
          <w:rFonts w:ascii="Times New Roman" w:hAnsi="Times New Roman" w:cs="Times New Roman"/>
          <w:i/>
          <w:iCs/>
          <w:sz w:val="24"/>
          <w:szCs w:val="24"/>
        </w:rPr>
        <w:t>Net Profit Margin</w:t>
      </w:r>
      <w:r w:rsidRPr="00EB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 w:rsidRPr="00A97DA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76F4" w:rsidRPr="00A97DA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me</w:t>
      </w:r>
      <w:r w:rsidR="009B76F4" w:rsidRPr="00A97DAF">
        <w:rPr>
          <w:rFonts w:ascii="Times New Roman" w:hAnsi="Times New Roman" w:cs="Times New Roman"/>
          <w:sz w:val="24"/>
          <w:szCs w:val="24"/>
        </w:rPr>
        <w:t>ndapatkan</w:t>
      </w:r>
      <w:proofErr w:type="spellEnd"/>
      <w:r w:rsidR="00EB3384"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melalui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men</w:t>
      </w:r>
      <w:r w:rsidR="009B76F4" w:rsidRPr="00A97DAF">
        <w:rPr>
          <w:rFonts w:ascii="Times New Roman" w:hAnsi="Times New Roman" w:cs="Times New Roman"/>
          <w:sz w:val="24"/>
          <w:szCs w:val="24"/>
        </w:rPr>
        <w:t>andakan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4" w:rsidRPr="00A97DA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97DAF">
        <w:rPr>
          <w:rFonts w:ascii="Times New Roman" w:hAnsi="Times New Roman" w:cs="Times New Roman"/>
          <w:sz w:val="24"/>
          <w:szCs w:val="24"/>
        </w:rPr>
        <w:t>di</w:t>
      </w:r>
      <w:r w:rsidR="00EB3384" w:rsidRPr="00A97DAF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EB3384" w:rsidRPr="00A97DAF">
        <w:rPr>
          <w:rFonts w:ascii="Times New Roman" w:hAnsi="Times New Roman" w:cs="Times New Roman"/>
          <w:sz w:val="24"/>
          <w:szCs w:val="24"/>
        </w:rPr>
        <w:t xml:space="preserve">, </w:t>
      </w:r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makin</w:t>
      </w:r>
      <w:proofErr w:type="spellEnd"/>
      <w:proofErr w:type="gram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r w:rsidR="00EB3384" w:rsidRPr="00A97DAF">
        <w:rPr>
          <w:rFonts w:ascii="Times New Roman" w:hAnsi="Times New Roman" w:cs="Times New Roman"/>
          <w:sz w:val="24"/>
          <w:szCs w:val="24"/>
        </w:rPr>
        <w:t xml:space="preserve">pula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investor yang mana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97DAF">
        <w:rPr>
          <w:rFonts w:ascii="Times New Roman" w:hAnsi="Times New Roman" w:cs="Times New Roman"/>
          <w:sz w:val="24"/>
          <w:szCs w:val="24"/>
        </w:rPr>
        <w:t xml:space="preserve"> </w:t>
      </w:r>
      <w:r w:rsidRPr="00A97DAF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spellStart"/>
      <w:r w:rsidRPr="00A97DAF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B3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C9F4A" w14:textId="16907372" w:rsidR="004C0EED" w:rsidRDefault="006132F4" w:rsidP="006132F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EB338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B3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338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Laulita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Yanni (2022)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r w:rsidR="00EB3384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>
        <w:rPr>
          <w:rFonts w:ascii="Times New Roman" w:hAnsi="Times New Roman" w:cs="Times New Roman"/>
          <w:sz w:val="24"/>
          <w:szCs w:val="24"/>
        </w:rPr>
        <w:t>(ROA)</w:t>
      </w:r>
      <w:r w:rsidR="009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F4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="009B76F4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Return On Equity</w:t>
      </w:r>
      <w:r>
        <w:rPr>
          <w:rFonts w:ascii="Times New Roman" w:hAnsi="Times New Roman" w:cs="Times New Roman"/>
          <w:sz w:val="24"/>
          <w:szCs w:val="24"/>
        </w:rPr>
        <w:t xml:space="preserve"> (ROE)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</w:rPr>
        <w:t>(NPM) berpengaruh secara signifikan</w:t>
      </w:r>
      <w:r w:rsidR="009B76F4">
        <w:rPr>
          <w:rFonts w:ascii="Times New Roman" w:hAnsi="Times New Roman" w:cs="Times New Roman"/>
          <w:sz w:val="24"/>
          <w:szCs w:val="24"/>
        </w:rPr>
        <w:t xml:space="preserve"> positif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 xml:space="preserve">saham. </w:t>
      </w:r>
      <w:r w:rsidR="0032005C">
        <w:rPr>
          <w:rFonts w:ascii="Times New Roman" w:hAnsi="Times New Roman" w:cs="Times New Roman"/>
          <w:sz w:val="24"/>
          <w:szCs w:val="24"/>
        </w:rPr>
        <w:t xml:space="preserve">Temuan </w:t>
      </w:r>
      <w:r>
        <w:rPr>
          <w:rFonts w:ascii="Times New Roman" w:hAnsi="Times New Roman" w:cs="Times New Roman"/>
          <w:sz w:val="24"/>
          <w:szCs w:val="24"/>
        </w:rPr>
        <w:t xml:space="preserve">tersebut berkebalikan dengan temuan dari peneliti Handayani dan Harris (2019) dalam penelitiannya menemukan bahwa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>
        <w:rPr>
          <w:rFonts w:ascii="Times New Roman" w:hAnsi="Times New Roman" w:cs="Times New Roman"/>
          <w:sz w:val="24"/>
          <w:szCs w:val="24"/>
        </w:rPr>
        <w:t xml:space="preserve">(ROA) berpengaruh positif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 se</w:t>
      </w:r>
      <w:r w:rsidR="0032005C">
        <w:rPr>
          <w:rFonts w:ascii="Times New Roman" w:hAnsi="Times New Roman" w:cs="Times New Roman"/>
          <w:sz w:val="24"/>
          <w:szCs w:val="24"/>
        </w:rPr>
        <w:t>mentara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>
        <w:rPr>
          <w:rFonts w:ascii="Times New Roman" w:hAnsi="Times New Roman" w:cs="Times New Roman"/>
          <w:sz w:val="24"/>
          <w:szCs w:val="24"/>
        </w:rPr>
        <w:t xml:space="preserve">(ROE)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</w:rPr>
        <w:t xml:space="preserve">(NPM) tidak berpengaruh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 </w:t>
      </w:r>
    </w:p>
    <w:p w14:paraId="4CBA5E1A" w14:textId="3D64422C" w:rsidR="00C95D25" w:rsidRPr="004C0EED" w:rsidRDefault="004C0EED" w:rsidP="006132F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sisi lain, </w:t>
      </w:r>
      <w:r w:rsidR="006132F4">
        <w:rPr>
          <w:rFonts w:ascii="Times New Roman" w:hAnsi="Times New Roman" w:cs="Times New Roman"/>
          <w:sz w:val="24"/>
          <w:szCs w:val="24"/>
        </w:rPr>
        <w:t xml:space="preserve">Akhid Muhammad, et al (2023) dalam </w:t>
      </w:r>
      <w:r w:rsidR="0032005C">
        <w:rPr>
          <w:rFonts w:ascii="Times New Roman" w:hAnsi="Times New Roman" w:cs="Times New Roman"/>
          <w:sz w:val="24"/>
          <w:szCs w:val="24"/>
        </w:rPr>
        <w:t>risetnya</w:t>
      </w:r>
      <w:r w:rsidR="006132F4">
        <w:rPr>
          <w:rFonts w:ascii="Times New Roman" w:hAnsi="Times New Roman" w:cs="Times New Roman"/>
          <w:sz w:val="24"/>
          <w:szCs w:val="24"/>
        </w:rPr>
        <w:t xml:space="preserve"> men</w:t>
      </w:r>
      <w:r w:rsidR="0032005C">
        <w:rPr>
          <w:rFonts w:ascii="Times New Roman" w:hAnsi="Times New Roman" w:cs="Times New Roman"/>
          <w:sz w:val="24"/>
          <w:szCs w:val="24"/>
        </w:rPr>
        <w:t>emukan</w:t>
      </w:r>
      <w:r w:rsidR="006132F4">
        <w:rPr>
          <w:rFonts w:ascii="Times New Roman" w:hAnsi="Times New Roman" w:cs="Times New Roman"/>
          <w:sz w:val="24"/>
          <w:szCs w:val="24"/>
        </w:rPr>
        <w:t xml:space="preserve"> hasil terkait bahwa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="006132F4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r w:rsidR="006132F4">
        <w:rPr>
          <w:rFonts w:ascii="Times New Roman" w:hAnsi="Times New Roman" w:cs="Times New Roman"/>
          <w:sz w:val="24"/>
          <w:szCs w:val="24"/>
        </w:rPr>
        <w:t xml:space="preserve">(ROE) berpengaruh signifikan terhadap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="006132F4">
        <w:rPr>
          <w:rFonts w:ascii="Times New Roman" w:hAnsi="Times New Roman" w:cs="Times New Roman"/>
          <w:sz w:val="24"/>
          <w:szCs w:val="24"/>
        </w:rPr>
        <w:t xml:space="preserve">saham sedangkan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="006132F4">
        <w:rPr>
          <w:rFonts w:ascii="Times New Roman" w:hAnsi="Times New Roman" w:cs="Times New Roman"/>
          <w:sz w:val="24"/>
          <w:szCs w:val="24"/>
        </w:rPr>
        <w:t xml:space="preserve">(NPM) tidak berpengaruh signifikan terhadap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="006132F4">
        <w:rPr>
          <w:rFonts w:ascii="Times New Roman" w:hAnsi="Times New Roman" w:cs="Times New Roman"/>
          <w:sz w:val="24"/>
          <w:szCs w:val="24"/>
        </w:rPr>
        <w:t>saham.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F4">
        <w:rPr>
          <w:rFonts w:ascii="Times New Roman" w:hAnsi="Times New Roman" w:cs="Times New Roman"/>
          <w:sz w:val="24"/>
          <w:szCs w:val="24"/>
        </w:rPr>
        <w:t xml:space="preserve">Pamungkas dan Haryanto (2016) dalam penelitiannya menemukan bahwa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Net Profit Matrgin </w:t>
      </w:r>
      <w:r w:rsidR="006132F4">
        <w:rPr>
          <w:rFonts w:ascii="Times New Roman" w:hAnsi="Times New Roman" w:cs="Times New Roman"/>
          <w:sz w:val="24"/>
          <w:szCs w:val="24"/>
        </w:rPr>
        <w:t xml:space="preserve">(NPM) berpengaruh positif signifikan terhadap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="006132F4">
        <w:rPr>
          <w:rFonts w:ascii="Times New Roman" w:hAnsi="Times New Roman" w:cs="Times New Roman"/>
          <w:sz w:val="24"/>
          <w:szCs w:val="24"/>
        </w:rPr>
        <w:t xml:space="preserve">saham sedangkan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="006132F4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 w:rsidR="006132F4">
        <w:rPr>
          <w:rFonts w:ascii="Times New Roman" w:hAnsi="Times New Roman" w:cs="Times New Roman"/>
          <w:sz w:val="24"/>
          <w:szCs w:val="24"/>
        </w:rPr>
        <w:t xml:space="preserve">(ROA) tidak berpengaruh terhadap </w:t>
      </w:r>
      <w:r w:rsidR="006132F4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="006132F4">
        <w:rPr>
          <w:rFonts w:ascii="Times New Roman" w:hAnsi="Times New Roman" w:cs="Times New Roman"/>
          <w:sz w:val="24"/>
          <w:szCs w:val="24"/>
        </w:rPr>
        <w:t xml:space="preserve">saham. </w:t>
      </w:r>
      <w:r>
        <w:rPr>
          <w:rFonts w:ascii="Times New Roman" w:hAnsi="Times New Roman" w:cs="Times New Roman"/>
          <w:sz w:val="24"/>
          <w:szCs w:val="24"/>
        </w:rPr>
        <w:t xml:space="preserve">Ristyawan (2019) dalam penelitiannya menemukan bahwa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r>
        <w:rPr>
          <w:rFonts w:ascii="Times New Roman" w:hAnsi="Times New Roman" w:cs="Times New Roman"/>
          <w:sz w:val="24"/>
          <w:szCs w:val="24"/>
        </w:rPr>
        <w:t xml:space="preserve">(ROE) </w:t>
      </w:r>
      <w:r w:rsidR="0032005C">
        <w:rPr>
          <w:rFonts w:ascii="Times New Roman" w:hAnsi="Times New Roman" w:cs="Times New Roman"/>
          <w:sz w:val="24"/>
          <w:szCs w:val="24"/>
        </w:rPr>
        <w:lastRenderedPageBreak/>
        <w:t>berpengaruh</w:t>
      </w:r>
      <w:r>
        <w:rPr>
          <w:rFonts w:ascii="Times New Roman" w:hAnsi="Times New Roman" w:cs="Times New Roman"/>
          <w:sz w:val="24"/>
          <w:szCs w:val="24"/>
        </w:rPr>
        <w:t xml:space="preserve"> negatif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Profit Matrgin </w:t>
      </w:r>
      <w:r>
        <w:rPr>
          <w:rFonts w:ascii="Times New Roman" w:hAnsi="Times New Roman" w:cs="Times New Roman"/>
          <w:sz w:val="24"/>
          <w:szCs w:val="24"/>
        </w:rPr>
        <w:t>(NPM)</w:t>
      </w:r>
      <w:r w:rsidR="00320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tidak berpengaruh positif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saham.</w:t>
      </w:r>
    </w:p>
    <w:p w14:paraId="0295471A" w14:textId="2CC14C84" w:rsidR="004D4286" w:rsidRDefault="00D00860" w:rsidP="004D4286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60">
        <w:rPr>
          <w:rFonts w:ascii="Times New Roman" w:hAnsi="Times New Roman" w:cs="Times New Roman"/>
          <w:sz w:val="24"/>
          <w:szCs w:val="24"/>
        </w:rPr>
        <w:t>Mengacu pada</w:t>
      </w:r>
      <w:r w:rsidR="004D4286" w:rsidRPr="00D00860">
        <w:rPr>
          <w:rFonts w:ascii="Times New Roman" w:hAnsi="Times New Roman" w:cs="Times New Roman"/>
          <w:sz w:val="24"/>
          <w:szCs w:val="24"/>
        </w:rPr>
        <w:t xml:space="preserve"> penjelasan diatas, penelitian ini perlu dilakukan 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untuk mengetahui seberapa besar pengaruh </w:t>
      </w:r>
      <w:r w:rsidR="00A97DAF">
        <w:rPr>
          <w:rFonts w:ascii="Times New Roman" w:hAnsi="Times New Roman" w:cs="Times New Roman"/>
          <w:sz w:val="24"/>
          <w:szCs w:val="24"/>
        </w:rPr>
        <w:t xml:space="preserve">antara </w:t>
      </w:r>
      <w:r w:rsidR="00B21896" w:rsidRPr="00D00860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="00B21896" w:rsidRPr="00D00860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="00B21896" w:rsidRPr="00D00860">
        <w:rPr>
          <w:rFonts w:ascii="Times New Roman" w:hAnsi="Times New Roman" w:cs="Times New Roman"/>
          <w:i/>
          <w:iCs/>
          <w:sz w:val="24"/>
          <w:szCs w:val="24"/>
        </w:rPr>
        <w:t xml:space="preserve"> Asset, Return On Equit</w:t>
      </w:r>
      <w:r w:rsidR="00FC0223" w:rsidRPr="00D0086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 dan </w:t>
      </w:r>
      <w:r w:rsidR="00B21896" w:rsidRPr="00D00860">
        <w:rPr>
          <w:rFonts w:ascii="Times New Roman" w:hAnsi="Times New Roman" w:cs="Times New Roman"/>
          <w:i/>
          <w:iCs/>
          <w:sz w:val="24"/>
          <w:szCs w:val="24"/>
        </w:rPr>
        <w:t>Net Profit Margin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 Terhadap </w:t>
      </w:r>
      <w:r w:rsidR="00B21896" w:rsidRPr="00D00860">
        <w:rPr>
          <w:rFonts w:ascii="Times New Roman" w:hAnsi="Times New Roman" w:cs="Times New Roman"/>
          <w:i/>
          <w:iCs/>
          <w:sz w:val="24"/>
          <w:szCs w:val="24"/>
        </w:rPr>
        <w:t>Return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 Saham pada perusahaan manufaktur sub sektor makanan dan minuman yang diharapkan dapat membantu manajemen perusahaan untuk menyelesaikan masalah</w:t>
      </w:r>
      <w:r w:rsidR="002108D0" w:rsidRPr="00D00860">
        <w:rPr>
          <w:rFonts w:ascii="Times New Roman" w:hAnsi="Times New Roman" w:cs="Times New Roman"/>
          <w:sz w:val="24"/>
          <w:szCs w:val="24"/>
        </w:rPr>
        <w:t>-masalah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 yang ada karena rasio-rasio tersebut berperan secara krusial </w:t>
      </w:r>
      <w:r w:rsidR="00650284" w:rsidRPr="00D00860">
        <w:rPr>
          <w:rFonts w:ascii="Times New Roman" w:hAnsi="Times New Roman" w:cs="Times New Roman"/>
          <w:sz w:val="24"/>
          <w:szCs w:val="24"/>
        </w:rPr>
        <w:t>terhadap besarnya return saham</w:t>
      </w:r>
      <w:r w:rsidR="00B21896" w:rsidRPr="00D00860">
        <w:rPr>
          <w:rFonts w:ascii="Times New Roman" w:hAnsi="Times New Roman" w:cs="Times New Roman"/>
          <w:sz w:val="24"/>
          <w:szCs w:val="24"/>
        </w:rPr>
        <w:t xml:space="preserve">. Oleh karena itu, </w:t>
      </w:r>
      <w:r w:rsidR="004D4286" w:rsidRPr="00D00860">
        <w:rPr>
          <w:rFonts w:ascii="Times New Roman" w:hAnsi="Times New Roman" w:cs="Times New Roman"/>
          <w:sz w:val="24"/>
          <w:szCs w:val="24"/>
        </w:rPr>
        <w:t>penulis tertarik untuk men</w:t>
      </w:r>
      <w:r w:rsidRPr="00D00860">
        <w:rPr>
          <w:rFonts w:ascii="Times New Roman" w:hAnsi="Times New Roman" w:cs="Times New Roman"/>
          <w:sz w:val="24"/>
          <w:szCs w:val="24"/>
        </w:rPr>
        <w:t>etapkan</w:t>
      </w:r>
      <w:r w:rsidR="004D4286" w:rsidRPr="00D00860">
        <w:rPr>
          <w:rFonts w:ascii="Times New Roman" w:hAnsi="Times New Roman" w:cs="Times New Roman"/>
          <w:sz w:val="24"/>
          <w:szCs w:val="24"/>
        </w:rPr>
        <w:t xml:space="preserve"> judul </w:t>
      </w:r>
      <w:r w:rsidR="004D4286" w:rsidRPr="00D00860">
        <w:rPr>
          <w:rFonts w:ascii="Times New Roman" w:hAnsi="Times New Roman" w:cs="Times New Roman"/>
          <w:b/>
          <w:bCs/>
          <w:sz w:val="24"/>
          <w:szCs w:val="24"/>
        </w:rPr>
        <w:t xml:space="preserve">“Pengaruh </w:t>
      </w:r>
      <w:r w:rsidR="004D4286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Return </w:t>
      </w:r>
      <w:proofErr w:type="gramStart"/>
      <w:r w:rsidR="004D4286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</w:t>
      </w:r>
      <w:proofErr w:type="gramEnd"/>
      <w:r w:rsidR="004D4286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Asset, Return On Equit</w:t>
      </w:r>
      <w:r w:rsidR="00FC0223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4D4286" w:rsidRPr="00D0086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r w:rsidR="004D4286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 Profit Margin</w:t>
      </w:r>
      <w:r w:rsidR="004D4286" w:rsidRPr="00D00860">
        <w:rPr>
          <w:rFonts w:ascii="Times New Roman" w:hAnsi="Times New Roman" w:cs="Times New Roman"/>
          <w:b/>
          <w:bCs/>
          <w:sz w:val="24"/>
          <w:szCs w:val="24"/>
        </w:rPr>
        <w:t xml:space="preserve"> Terhadap </w:t>
      </w:r>
      <w:r w:rsidR="004D4286" w:rsidRPr="00D008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Return</w:t>
      </w:r>
      <w:r w:rsidR="004D4286" w:rsidRPr="00D00860">
        <w:rPr>
          <w:rFonts w:ascii="Times New Roman" w:hAnsi="Times New Roman" w:cs="Times New Roman"/>
          <w:b/>
          <w:bCs/>
          <w:sz w:val="24"/>
          <w:szCs w:val="24"/>
        </w:rPr>
        <w:t xml:space="preserve"> Saham Pada Perusahaan Manufaktur Sub Sektor Makanan Dan Minuman Periode 2019-2023”</w:t>
      </w:r>
    </w:p>
    <w:p w14:paraId="76AC01FD" w14:textId="77777777" w:rsidR="004D4286" w:rsidRDefault="004D4286" w:rsidP="004D4286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3ED2" w14:textId="6F99A188" w:rsidR="00A16812" w:rsidRPr="00B93ABC" w:rsidRDefault="005E5525" w:rsidP="002A2A31">
      <w:pPr>
        <w:pStyle w:val="Heading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73926404"/>
      <w:r w:rsidRPr="00B9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Pembatasan Masalah</w:t>
      </w:r>
      <w:bookmarkEnd w:id="5"/>
    </w:p>
    <w:p w14:paraId="1EC506C1" w14:textId="7D1B6370" w:rsidR="004D4286" w:rsidRDefault="00D00860" w:rsidP="002A2A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Mengacu pada</w:t>
      </w:r>
      <w:r w:rsidR="004D4286">
        <w:rPr>
          <w:rFonts w:ascii="Times New Roman" w:hAnsi="Times New Roman" w:cs="Times New Roman"/>
          <w:sz w:val="24"/>
          <w:szCs w:val="24"/>
        </w:rPr>
        <w:t xml:space="preserve"> latar belakang yang telah di</w:t>
      </w:r>
      <w:r>
        <w:rPr>
          <w:rFonts w:ascii="Times New Roman" w:hAnsi="Times New Roman" w:cs="Times New Roman"/>
          <w:sz w:val="24"/>
          <w:szCs w:val="24"/>
        </w:rPr>
        <w:t>paparkan</w:t>
      </w:r>
      <w:r w:rsidR="004D4286">
        <w:rPr>
          <w:rFonts w:ascii="Times New Roman" w:hAnsi="Times New Roman" w:cs="Times New Roman"/>
          <w:sz w:val="24"/>
          <w:szCs w:val="24"/>
        </w:rPr>
        <w:t xml:space="preserve"> diatas serta untuk menghindari meluasnya masalah, maka pembahasan akan lebih berfokus pada permasalahan terkait 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>Return On Asset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(ROA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4D4286">
        <w:rPr>
          <w:rFonts w:ascii="Times New Roman" w:hAnsi="Times New Roman" w:cs="Times New Roman"/>
          <w:i/>
          <w:iCs/>
          <w:sz w:val="24"/>
          <w:szCs w:val="24"/>
        </w:rPr>
        <w:t xml:space="preserve"> Return On Equity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(ROE)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4286">
        <w:rPr>
          <w:rFonts w:ascii="Times New Roman" w:hAnsi="Times New Roman" w:cs="Times New Roman"/>
          <w:sz w:val="24"/>
          <w:szCs w:val="24"/>
        </w:rPr>
        <w:t xml:space="preserve">dan 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>Net Profit Margin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(NPM)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4286">
        <w:rPr>
          <w:rFonts w:ascii="Times New Roman" w:hAnsi="Times New Roman" w:cs="Times New Roman"/>
          <w:sz w:val="24"/>
          <w:szCs w:val="24"/>
        </w:rPr>
        <w:t>yang akan di</w:t>
      </w:r>
      <w:r>
        <w:rPr>
          <w:rFonts w:ascii="Times New Roman" w:hAnsi="Times New Roman" w:cs="Times New Roman"/>
          <w:sz w:val="24"/>
          <w:szCs w:val="24"/>
        </w:rPr>
        <w:t>hitung</w:t>
      </w:r>
      <w:r w:rsidR="004D4286">
        <w:rPr>
          <w:rFonts w:ascii="Times New Roman" w:hAnsi="Times New Roman" w:cs="Times New Roman"/>
          <w:sz w:val="24"/>
          <w:szCs w:val="24"/>
        </w:rPr>
        <w:t xml:space="preserve"> untuk mengetahui pengaruhnya terhadap </w:t>
      </w:r>
      <w:r w:rsid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="004D4286"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2019-2023.</w:t>
      </w:r>
    </w:p>
    <w:p w14:paraId="63314225" w14:textId="77777777" w:rsidR="004D4286" w:rsidRPr="004D4286" w:rsidRDefault="004D4286" w:rsidP="004D4286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17FF3" w14:textId="4D8BFEBB" w:rsidR="005E5525" w:rsidRPr="00B93ABC" w:rsidRDefault="005E5525" w:rsidP="002A2A31">
      <w:pPr>
        <w:pStyle w:val="Heading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73926405"/>
      <w:r w:rsidRPr="00B9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Rumusan Masalah</w:t>
      </w:r>
      <w:bookmarkEnd w:id="6"/>
    </w:p>
    <w:p w14:paraId="31F85C12" w14:textId="61EF6468" w:rsidR="004D4286" w:rsidRDefault="00D00860" w:rsidP="002A2A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Mengacu pada</w:t>
      </w:r>
      <w:r w:rsidR="004D4286">
        <w:rPr>
          <w:rFonts w:ascii="Times New Roman" w:hAnsi="Times New Roman" w:cs="Times New Roman"/>
          <w:sz w:val="24"/>
          <w:szCs w:val="24"/>
        </w:rPr>
        <w:t xml:space="preserve"> pembatasan masalah yang telah </w:t>
      </w:r>
      <w:r>
        <w:rPr>
          <w:rFonts w:ascii="Times New Roman" w:hAnsi="Times New Roman" w:cs="Times New Roman"/>
          <w:sz w:val="24"/>
          <w:szCs w:val="24"/>
        </w:rPr>
        <w:t>dipaparkan</w:t>
      </w:r>
      <w:r w:rsidR="004D4286">
        <w:rPr>
          <w:rFonts w:ascii="Times New Roman" w:hAnsi="Times New Roman" w:cs="Times New Roman"/>
          <w:sz w:val="24"/>
          <w:szCs w:val="24"/>
        </w:rPr>
        <w:t xml:space="preserve"> diatas, maka peneliti merumuskan </w:t>
      </w:r>
      <w:r>
        <w:rPr>
          <w:rFonts w:ascii="Times New Roman" w:hAnsi="Times New Roman" w:cs="Times New Roman"/>
          <w:sz w:val="24"/>
          <w:szCs w:val="24"/>
        </w:rPr>
        <w:t>permasala</w:t>
      </w:r>
      <w:r w:rsidR="004D428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D4286">
        <w:rPr>
          <w:rFonts w:ascii="Times New Roman" w:hAnsi="Times New Roman" w:cs="Times New Roman"/>
          <w:sz w:val="24"/>
          <w:szCs w:val="24"/>
        </w:rPr>
        <w:t xml:space="preserve"> yang </w:t>
      </w:r>
      <w:r w:rsidR="00A97DAF">
        <w:rPr>
          <w:rFonts w:ascii="Times New Roman" w:hAnsi="Times New Roman" w:cs="Times New Roman"/>
          <w:sz w:val="24"/>
          <w:szCs w:val="24"/>
        </w:rPr>
        <w:t>hendak</w:t>
      </w:r>
      <w:r w:rsidR="004D4286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kaji</w:t>
      </w:r>
      <w:r w:rsidR="004D4286">
        <w:rPr>
          <w:rFonts w:ascii="Times New Roman" w:hAnsi="Times New Roman" w:cs="Times New Roman"/>
          <w:sz w:val="24"/>
          <w:szCs w:val="24"/>
        </w:rPr>
        <w:t xml:space="preserve"> </w:t>
      </w:r>
      <w:r w:rsidR="00A97DAF">
        <w:rPr>
          <w:rFonts w:ascii="Times New Roman" w:hAnsi="Times New Roman" w:cs="Times New Roman"/>
          <w:sz w:val="24"/>
          <w:szCs w:val="24"/>
        </w:rPr>
        <w:t>pada</w:t>
      </w:r>
      <w:r w:rsidR="004D4286">
        <w:rPr>
          <w:rFonts w:ascii="Times New Roman" w:hAnsi="Times New Roman" w:cs="Times New Roman"/>
          <w:sz w:val="24"/>
          <w:szCs w:val="24"/>
        </w:rPr>
        <w:t xml:space="preserve"> penelitian ini </w:t>
      </w:r>
      <w:proofErr w:type="gramStart"/>
      <w:r w:rsidR="00AA3F3A">
        <w:rPr>
          <w:rFonts w:ascii="Times New Roman" w:hAnsi="Times New Roman" w:cs="Times New Roman"/>
          <w:sz w:val="24"/>
          <w:szCs w:val="24"/>
        </w:rPr>
        <w:t>yakni</w:t>
      </w:r>
      <w:r w:rsidR="004D42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FF0E653" w14:textId="36F55621" w:rsidR="004D4286" w:rsidRDefault="004D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pengaruh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>
        <w:rPr>
          <w:rFonts w:ascii="Times New Roman" w:hAnsi="Times New Roman" w:cs="Times New Roman"/>
          <w:sz w:val="24"/>
          <w:szCs w:val="24"/>
        </w:rPr>
        <w:t xml:space="preserve">(ROA)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2019-2023?</w:t>
      </w:r>
      <w:r w:rsidR="00F10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0B213" w14:textId="77777777" w:rsidR="004D4286" w:rsidRDefault="004D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Bagaimana pengaruh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r>
        <w:rPr>
          <w:rFonts w:ascii="Times New Roman" w:hAnsi="Times New Roman" w:cs="Times New Roman"/>
          <w:sz w:val="24"/>
          <w:szCs w:val="24"/>
        </w:rPr>
        <w:t xml:space="preserve">(ROE)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2019-2023?</w:t>
      </w:r>
    </w:p>
    <w:p w14:paraId="367C7E63" w14:textId="77777777" w:rsidR="004D4286" w:rsidRDefault="004D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389">
        <w:rPr>
          <w:rFonts w:ascii="Times New Roman" w:hAnsi="Times New Roman" w:cs="Times New Roman"/>
          <w:sz w:val="24"/>
          <w:szCs w:val="24"/>
        </w:rPr>
        <w:t xml:space="preserve">Bagaimana pengaruh </w:t>
      </w:r>
      <w:r w:rsidRPr="002B1389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2B1389">
        <w:rPr>
          <w:rFonts w:ascii="Times New Roman" w:hAnsi="Times New Roman" w:cs="Times New Roman"/>
          <w:sz w:val="24"/>
          <w:szCs w:val="24"/>
        </w:rPr>
        <w:t xml:space="preserve">(NPM) terhadap </w:t>
      </w:r>
      <w:r w:rsidRPr="002B1389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2B1389"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terdafatr di Bursa Efek Indonesia tahun 2019-202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1389">
        <w:rPr>
          <w:rFonts w:ascii="Times New Roman" w:hAnsi="Times New Roman" w:cs="Times New Roman"/>
          <w:sz w:val="24"/>
          <w:szCs w:val="24"/>
        </w:rPr>
        <w:t>?</w:t>
      </w:r>
    </w:p>
    <w:p w14:paraId="61095CA0" w14:textId="77777777" w:rsidR="004D4286" w:rsidRPr="004D59D3" w:rsidRDefault="004D42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>
        <w:rPr>
          <w:rFonts w:ascii="Times New Roman" w:hAnsi="Times New Roman" w:cs="Times New Roman"/>
          <w:sz w:val="24"/>
          <w:szCs w:val="24"/>
        </w:rPr>
        <w:t xml:space="preserve">(ROA),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>
        <w:rPr>
          <w:rFonts w:ascii="Times New Roman" w:hAnsi="Times New Roman" w:cs="Times New Roman"/>
          <w:sz w:val="24"/>
          <w:szCs w:val="24"/>
        </w:rPr>
        <w:t xml:space="preserve">(ROE) dan </w:t>
      </w:r>
      <w:r w:rsidRPr="002B1389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2B1389">
        <w:rPr>
          <w:rFonts w:ascii="Times New Roman" w:hAnsi="Times New Roman" w:cs="Times New Roman"/>
          <w:sz w:val="24"/>
          <w:szCs w:val="24"/>
        </w:rPr>
        <w:t>(NPM)</w:t>
      </w:r>
      <w:r>
        <w:rPr>
          <w:rFonts w:ascii="Times New Roman" w:hAnsi="Times New Roman" w:cs="Times New Roman"/>
          <w:sz w:val="24"/>
          <w:szCs w:val="24"/>
        </w:rPr>
        <w:t xml:space="preserve"> secara simultan berpengaruh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2019-2023?</w:t>
      </w:r>
    </w:p>
    <w:p w14:paraId="40AF8F8E" w14:textId="77777777" w:rsidR="00A16812" w:rsidRPr="00A16812" w:rsidRDefault="00A16812" w:rsidP="00A1681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767BE0" w14:textId="5826CAD5" w:rsidR="005E5525" w:rsidRPr="00B93ABC" w:rsidRDefault="005E5525" w:rsidP="002A2A31">
      <w:pPr>
        <w:pStyle w:val="Heading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926406"/>
      <w:r w:rsidRPr="00B9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Tujuan Penelitian</w:t>
      </w:r>
      <w:bookmarkEnd w:id="7"/>
    </w:p>
    <w:p w14:paraId="6A4C8E02" w14:textId="75E1469D" w:rsidR="004D4286" w:rsidRDefault="00A97DAF" w:rsidP="002A2A3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Mengacu pada rumusan masalah yang telah dipaparkan diatas</w:t>
      </w:r>
      <w:r w:rsidR="004D4286">
        <w:rPr>
          <w:rFonts w:ascii="Times New Roman" w:hAnsi="Times New Roman" w:cs="Times New Roman"/>
          <w:sz w:val="24"/>
          <w:szCs w:val="24"/>
        </w:rPr>
        <w:t xml:space="preserve">, maka tujuan penelitian adalah untuk sebagai </w:t>
      </w:r>
      <w:proofErr w:type="gramStart"/>
      <w:r w:rsidR="004D4286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14:paraId="15F0CF3A" w14:textId="77777777" w:rsidR="004D4286" w:rsidRDefault="004D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42">
        <w:rPr>
          <w:rFonts w:ascii="Times New Roman" w:hAnsi="Times New Roman" w:cs="Times New Roman"/>
          <w:sz w:val="24"/>
          <w:szCs w:val="24"/>
        </w:rPr>
        <w:t>Untuk menganalisis</w:t>
      </w:r>
      <w:r>
        <w:rPr>
          <w:rFonts w:ascii="Times New Roman" w:hAnsi="Times New Roman" w:cs="Times New Roman"/>
          <w:sz w:val="24"/>
          <w:szCs w:val="24"/>
        </w:rPr>
        <w:t xml:space="preserve"> pengaruh</w:t>
      </w:r>
      <w:r w:rsidRPr="00B74542">
        <w:rPr>
          <w:rFonts w:ascii="Times New Roman" w:hAnsi="Times New Roman" w:cs="Times New Roman"/>
          <w:sz w:val="24"/>
          <w:szCs w:val="24"/>
        </w:rPr>
        <w:t xml:space="preserve"> </w:t>
      </w:r>
      <w:r w:rsidRPr="00B74542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B74542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B74542"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 w:rsidRPr="00B74542">
        <w:rPr>
          <w:rFonts w:ascii="Times New Roman" w:hAnsi="Times New Roman" w:cs="Times New Roman"/>
          <w:sz w:val="24"/>
          <w:szCs w:val="24"/>
        </w:rPr>
        <w:t xml:space="preserve">(ROA) terhadap </w:t>
      </w:r>
      <w:r w:rsidRPr="00B74542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B74542"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524A9825" w14:textId="77777777" w:rsidR="004D4286" w:rsidRPr="00D46092" w:rsidRDefault="004D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92">
        <w:rPr>
          <w:rFonts w:ascii="Times New Roman" w:hAnsi="Times New Roman" w:cs="Times New Roman"/>
          <w:sz w:val="24"/>
          <w:szCs w:val="24"/>
        </w:rPr>
        <w:t xml:space="preserve">Untuk menganalisis pengaruh </w:t>
      </w:r>
      <w:r w:rsidRPr="00D46092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D46092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D46092">
        <w:rPr>
          <w:rFonts w:ascii="Times New Roman" w:hAnsi="Times New Roman" w:cs="Times New Roman"/>
          <w:i/>
          <w:iCs/>
          <w:sz w:val="24"/>
          <w:szCs w:val="24"/>
        </w:rPr>
        <w:t xml:space="preserve"> Equity </w:t>
      </w:r>
      <w:r w:rsidRPr="00D46092">
        <w:rPr>
          <w:rFonts w:ascii="Times New Roman" w:hAnsi="Times New Roman" w:cs="Times New Roman"/>
          <w:sz w:val="24"/>
          <w:szCs w:val="24"/>
        </w:rPr>
        <w:t xml:space="preserve">(ROE) terhadap </w:t>
      </w:r>
      <w:r w:rsidRPr="00D46092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D46092"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60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BA680" w14:textId="77777777" w:rsidR="004D4286" w:rsidRDefault="004D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menganalisis pengaruh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>
        <w:rPr>
          <w:rFonts w:ascii="Times New Roman" w:hAnsi="Times New Roman" w:cs="Times New Roman"/>
          <w:sz w:val="24"/>
          <w:szCs w:val="24"/>
        </w:rPr>
        <w:t xml:space="preserve">(NPM)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 xml:space="preserve">Saham pada perusahaan manufaktur sub sektor makanan dan minuman yang terdafatr di Bursa Efek Indonesia tahun 2019-2023. </w:t>
      </w:r>
    </w:p>
    <w:p w14:paraId="43EF34EC" w14:textId="77777777" w:rsidR="004D4286" w:rsidRDefault="004D428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menganalisis pengaruh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>
        <w:rPr>
          <w:rFonts w:ascii="Times New Roman" w:hAnsi="Times New Roman" w:cs="Times New Roman"/>
          <w:sz w:val="24"/>
          <w:szCs w:val="24"/>
        </w:rPr>
        <w:t xml:space="preserve">(ROA),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>
        <w:rPr>
          <w:rFonts w:ascii="Times New Roman" w:hAnsi="Times New Roman" w:cs="Times New Roman"/>
          <w:sz w:val="24"/>
          <w:szCs w:val="24"/>
        </w:rPr>
        <w:t xml:space="preserve">(ROE) dan </w:t>
      </w:r>
      <w:r w:rsidRPr="002B1389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2B1389">
        <w:rPr>
          <w:rFonts w:ascii="Times New Roman" w:hAnsi="Times New Roman" w:cs="Times New Roman"/>
          <w:sz w:val="24"/>
          <w:szCs w:val="24"/>
        </w:rPr>
        <w:t>(NPM)</w:t>
      </w:r>
      <w:r>
        <w:rPr>
          <w:rFonts w:ascii="Times New Roman" w:hAnsi="Times New Roman" w:cs="Times New Roman"/>
          <w:sz w:val="24"/>
          <w:szCs w:val="24"/>
        </w:rPr>
        <w:t xml:space="preserve"> secara simultan terhadap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z w:val="24"/>
          <w:szCs w:val="24"/>
        </w:rPr>
        <w:t>Saham pada perusahaan manufaktur sub sektor makanan dan minuman yang terdaftar di Bursa Efek Indonesia tahun 2019-2023.</w:t>
      </w:r>
    </w:p>
    <w:p w14:paraId="2C3B6916" w14:textId="609AA2F6" w:rsidR="00B74542" w:rsidRDefault="00B74542" w:rsidP="00B7454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6AB001" w14:textId="77777777" w:rsidR="002A2A31" w:rsidRPr="00B74542" w:rsidRDefault="002A2A31" w:rsidP="00B7454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5C2862" w14:textId="43AB919F" w:rsidR="00B74542" w:rsidRPr="00B93ABC" w:rsidRDefault="004D4286" w:rsidP="002A2A31">
      <w:pPr>
        <w:pStyle w:val="Heading2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926407"/>
      <w:r w:rsidRPr="00B9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Manfaat</w:t>
      </w:r>
      <w:r w:rsidR="005E5525" w:rsidRPr="00B9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Penelitian</w:t>
      </w:r>
      <w:bookmarkEnd w:id="8"/>
    </w:p>
    <w:p w14:paraId="7B057DB2" w14:textId="77777777" w:rsidR="004D4286" w:rsidRPr="004D4286" w:rsidRDefault="004D4286" w:rsidP="002A2A31">
      <w:pPr>
        <w:numPr>
          <w:ilvl w:val="2"/>
          <w:numId w:val="5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Aspek Teoritis</w:t>
      </w:r>
    </w:p>
    <w:p w14:paraId="1CB416EB" w14:textId="4C8B24A0" w:rsidR="004D4286" w:rsidRPr="004D4286" w:rsidRDefault="004D4286" w:rsidP="002A2A31">
      <w:pPr>
        <w:numPr>
          <w:ilvl w:val="0"/>
          <w:numId w:val="7"/>
        </w:numPr>
        <w:spacing w:line="360" w:lineRule="auto"/>
        <w:ind w:left="180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 xml:space="preserve">Sebagai wawasan dalam hal analisis laporan keuangan untuk memperkirakan besarnya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4D4286">
        <w:rPr>
          <w:rFonts w:ascii="Times New Roman" w:hAnsi="Times New Roman" w:cs="Times New Roman"/>
          <w:sz w:val="24"/>
          <w:szCs w:val="24"/>
        </w:rPr>
        <w:t xml:space="preserve">saham sehingga dapat dijadikan sebagai acuan terhadap penelitian analisis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4D4286">
        <w:rPr>
          <w:rFonts w:ascii="Times New Roman" w:hAnsi="Times New Roman" w:cs="Times New Roman"/>
          <w:sz w:val="24"/>
          <w:szCs w:val="24"/>
        </w:rPr>
        <w:t>saham perusahaan dimasa mendatang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DFF596" w14:textId="54CCCE9B" w:rsidR="004D4286" w:rsidRPr="004D4286" w:rsidRDefault="004D4286">
      <w:pPr>
        <w:numPr>
          <w:ilvl w:val="0"/>
          <w:numId w:val="7"/>
        </w:numPr>
        <w:spacing w:line="360" w:lineRule="auto"/>
        <w:ind w:left="18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 xml:space="preserve">Meningkatkan pemahaman baru yang dapat digunakan sebagai pengetahuan </w:t>
      </w:r>
      <w:r w:rsidR="00D00860">
        <w:rPr>
          <w:rFonts w:ascii="Times New Roman" w:hAnsi="Times New Roman" w:cs="Times New Roman"/>
          <w:sz w:val="24"/>
          <w:szCs w:val="24"/>
        </w:rPr>
        <w:t>dan pemahaman mengenai</w:t>
      </w:r>
      <w:r w:rsidRPr="004D4286">
        <w:rPr>
          <w:rFonts w:ascii="Times New Roman" w:hAnsi="Times New Roman" w:cs="Times New Roman"/>
          <w:sz w:val="24"/>
          <w:szCs w:val="24"/>
        </w:rPr>
        <w:t xml:space="preserve"> teori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4D4286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 w:rsidRPr="004D4286">
        <w:rPr>
          <w:rFonts w:ascii="Times New Roman" w:hAnsi="Times New Roman" w:cs="Times New Roman"/>
          <w:sz w:val="24"/>
          <w:szCs w:val="24"/>
        </w:rPr>
        <w:t xml:space="preserve">(ROA),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 w:rsidRPr="004D4286">
        <w:rPr>
          <w:rFonts w:ascii="Times New Roman" w:hAnsi="Times New Roman" w:cs="Times New Roman"/>
          <w:sz w:val="24"/>
          <w:szCs w:val="24"/>
        </w:rPr>
        <w:t xml:space="preserve">(ROE),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4D4286">
        <w:rPr>
          <w:rFonts w:ascii="Times New Roman" w:hAnsi="Times New Roman" w:cs="Times New Roman"/>
          <w:sz w:val="24"/>
          <w:szCs w:val="24"/>
        </w:rPr>
        <w:t xml:space="preserve">(NPM) dan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4D4286">
        <w:rPr>
          <w:rFonts w:ascii="Times New Roman" w:hAnsi="Times New Roman" w:cs="Times New Roman"/>
          <w:sz w:val="24"/>
          <w:szCs w:val="24"/>
        </w:rPr>
        <w:t xml:space="preserve">saham. </w:t>
      </w:r>
    </w:p>
    <w:p w14:paraId="01DD4886" w14:textId="77777777" w:rsidR="004D4286" w:rsidRPr="004D4286" w:rsidRDefault="004D4286">
      <w:pPr>
        <w:numPr>
          <w:ilvl w:val="2"/>
          <w:numId w:val="5"/>
        </w:num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4286">
        <w:rPr>
          <w:rFonts w:ascii="Times New Roman" w:hAnsi="Times New Roman" w:cs="Times New Roman"/>
          <w:b/>
          <w:bCs/>
          <w:sz w:val="24"/>
          <w:szCs w:val="24"/>
        </w:rPr>
        <w:t>Aspek Praktis</w:t>
      </w:r>
    </w:p>
    <w:p w14:paraId="2133E5AB" w14:textId="38AD5982" w:rsidR="004D4286" w:rsidRPr="004D4286" w:rsidRDefault="004D4286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 xml:space="preserve">Hasil </w:t>
      </w:r>
      <w:r w:rsidR="00AA3F3A">
        <w:rPr>
          <w:rFonts w:ascii="Times New Roman" w:hAnsi="Times New Roman" w:cs="Times New Roman"/>
          <w:sz w:val="24"/>
          <w:szCs w:val="24"/>
        </w:rPr>
        <w:t>riset</w:t>
      </w:r>
      <w:r w:rsidRPr="004D4286">
        <w:rPr>
          <w:rFonts w:ascii="Times New Roman" w:hAnsi="Times New Roman" w:cs="Times New Roman"/>
          <w:sz w:val="24"/>
          <w:szCs w:val="24"/>
        </w:rPr>
        <w:t xml:space="preserve"> ini diharapkan </w:t>
      </w:r>
      <w:r w:rsidR="00AA3F3A">
        <w:rPr>
          <w:rFonts w:ascii="Times New Roman" w:hAnsi="Times New Roman" w:cs="Times New Roman"/>
          <w:sz w:val="24"/>
          <w:szCs w:val="24"/>
        </w:rPr>
        <w:t>mampu</w:t>
      </w:r>
      <w:r w:rsidRPr="004D4286">
        <w:rPr>
          <w:rFonts w:ascii="Times New Roman" w:hAnsi="Times New Roman" w:cs="Times New Roman"/>
          <w:sz w:val="24"/>
          <w:szCs w:val="24"/>
        </w:rPr>
        <w:t xml:space="preserve"> meningkatkan pengetahuan </w:t>
      </w:r>
      <w:r w:rsidR="00AA3F3A">
        <w:rPr>
          <w:rFonts w:ascii="Times New Roman" w:hAnsi="Times New Roman" w:cs="Times New Roman"/>
          <w:sz w:val="24"/>
          <w:szCs w:val="24"/>
        </w:rPr>
        <w:t>terkait</w:t>
      </w:r>
      <w:r w:rsidRPr="004D4286">
        <w:rPr>
          <w:rFonts w:ascii="Times New Roman" w:hAnsi="Times New Roman" w:cs="Times New Roman"/>
          <w:sz w:val="24"/>
          <w:szCs w:val="24"/>
        </w:rPr>
        <w:t xml:space="preserve"> pengaruh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proofErr w:type="gramStart"/>
      <w:r w:rsidRPr="004D4286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gramEnd"/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 Asset </w:t>
      </w:r>
      <w:r w:rsidRPr="004D4286">
        <w:rPr>
          <w:rFonts w:ascii="Times New Roman" w:hAnsi="Times New Roman" w:cs="Times New Roman"/>
          <w:sz w:val="24"/>
          <w:szCs w:val="24"/>
        </w:rPr>
        <w:t xml:space="preserve">(ROA),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On Equity </w:t>
      </w:r>
      <w:r w:rsidRPr="004D4286">
        <w:rPr>
          <w:rFonts w:ascii="Times New Roman" w:hAnsi="Times New Roman" w:cs="Times New Roman"/>
          <w:sz w:val="24"/>
          <w:szCs w:val="24"/>
        </w:rPr>
        <w:t xml:space="preserve">(ROE) dan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Net Profit Margin </w:t>
      </w:r>
      <w:r w:rsidRPr="004D4286">
        <w:rPr>
          <w:rFonts w:ascii="Times New Roman" w:hAnsi="Times New Roman" w:cs="Times New Roman"/>
          <w:sz w:val="24"/>
          <w:szCs w:val="24"/>
        </w:rPr>
        <w:t xml:space="preserve">(NPM) terhadap </w:t>
      </w:r>
      <w:r w:rsidRPr="004D4286">
        <w:rPr>
          <w:rFonts w:ascii="Times New Roman" w:hAnsi="Times New Roman" w:cs="Times New Roman"/>
          <w:i/>
          <w:iCs/>
          <w:sz w:val="24"/>
          <w:szCs w:val="24"/>
        </w:rPr>
        <w:t xml:space="preserve">Return </w:t>
      </w:r>
      <w:r w:rsidRPr="004D4286">
        <w:rPr>
          <w:rFonts w:ascii="Times New Roman" w:hAnsi="Times New Roman" w:cs="Times New Roman"/>
          <w:sz w:val="24"/>
          <w:szCs w:val="24"/>
        </w:rPr>
        <w:t>Saham perusahaan sebagai bahan referensi untuk penelitian selanjutnya apabila ingin mengkaji masalah yang sama.</w:t>
      </w:r>
    </w:p>
    <w:p w14:paraId="5EFE924F" w14:textId="50BA2EC1" w:rsidR="004D4286" w:rsidRPr="004D4286" w:rsidRDefault="004D4286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286">
        <w:rPr>
          <w:rFonts w:ascii="Times New Roman" w:hAnsi="Times New Roman" w:cs="Times New Roman"/>
          <w:sz w:val="24"/>
          <w:szCs w:val="24"/>
        </w:rPr>
        <w:t xml:space="preserve">Hasil </w:t>
      </w:r>
      <w:r w:rsidR="00AA3F3A">
        <w:rPr>
          <w:rFonts w:ascii="Times New Roman" w:hAnsi="Times New Roman" w:cs="Times New Roman"/>
          <w:sz w:val="24"/>
          <w:szCs w:val="24"/>
        </w:rPr>
        <w:t>riset</w:t>
      </w:r>
      <w:r w:rsidRPr="004D4286">
        <w:rPr>
          <w:rFonts w:ascii="Times New Roman" w:hAnsi="Times New Roman" w:cs="Times New Roman"/>
          <w:sz w:val="24"/>
          <w:szCs w:val="24"/>
        </w:rPr>
        <w:t xml:space="preserve"> ini diharapkan </w:t>
      </w:r>
      <w:r w:rsidR="00AA3F3A">
        <w:rPr>
          <w:rFonts w:ascii="Times New Roman" w:hAnsi="Times New Roman" w:cs="Times New Roman"/>
          <w:sz w:val="24"/>
          <w:szCs w:val="24"/>
        </w:rPr>
        <w:t>mampu</w:t>
      </w:r>
      <w:r w:rsidRPr="004D4286">
        <w:rPr>
          <w:rFonts w:ascii="Times New Roman" w:hAnsi="Times New Roman" w:cs="Times New Roman"/>
          <w:sz w:val="24"/>
          <w:szCs w:val="24"/>
        </w:rPr>
        <w:t xml:space="preserve"> memberikan infromasi </w:t>
      </w:r>
      <w:r w:rsidR="00AA3F3A">
        <w:rPr>
          <w:rFonts w:ascii="Times New Roman" w:hAnsi="Times New Roman" w:cs="Times New Roman"/>
          <w:sz w:val="24"/>
          <w:szCs w:val="24"/>
        </w:rPr>
        <w:t>bagi</w:t>
      </w:r>
      <w:r w:rsidRPr="004D4286">
        <w:rPr>
          <w:rFonts w:ascii="Times New Roman" w:hAnsi="Times New Roman" w:cs="Times New Roman"/>
          <w:sz w:val="24"/>
          <w:szCs w:val="24"/>
        </w:rPr>
        <w:t xml:space="preserve"> pihak lain yang bersangkutan terhadap perusahaan yang diteliti dalam menentukan keputusan.</w:t>
      </w:r>
    </w:p>
    <w:p w14:paraId="72FF15F3" w14:textId="77777777" w:rsidR="00C965AA" w:rsidRPr="0037193C" w:rsidRDefault="00C965AA" w:rsidP="00CF4AA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65AA" w:rsidRPr="0037193C" w:rsidSect="00CF4AA0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A719" w14:textId="77777777" w:rsidR="00871637" w:rsidRDefault="00871637" w:rsidP="00DF0A77">
      <w:pPr>
        <w:spacing w:after="0" w:line="240" w:lineRule="auto"/>
      </w:pPr>
      <w:r>
        <w:separator/>
      </w:r>
    </w:p>
  </w:endnote>
  <w:endnote w:type="continuationSeparator" w:id="0">
    <w:p w14:paraId="727C5D3A" w14:textId="77777777" w:rsidR="00871637" w:rsidRDefault="00871637" w:rsidP="00DF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4397" w14:textId="77777777" w:rsidR="00BA3D17" w:rsidRDefault="00BA3D17">
    <w:pPr>
      <w:pStyle w:val="Footer"/>
    </w:pPr>
  </w:p>
  <w:p w14:paraId="5DB8C76F" w14:textId="77777777" w:rsidR="00842D86" w:rsidRDefault="00842D86"/>
  <w:p w14:paraId="63E5E7BA" w14:textId="77777777" w:rsidR="00842D86" w:rsidRDefault="00842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7384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223CD" w14:textId="568F5496" w:rsidR="00B71C63" w:rsidRDefault="00B71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0DC39" w14:textId="77777777" w:rsidR="00B71C63" w:rsidRDefault="00B71C63">
    <w:pPr>
      <w:pStyle w:val="Footer"/>
    </w:pPr>
  </w:p>
  <w:p w14:paraId="51C65353" w14:textId="77777777" w:rsidR="00842D86" w:rsidRDefault="00842D86"/>
  <w:p w14:paraId="2DF30C5E" w14:textId="77777777" w:rsidR="00842D86" w:rsidRDefault="00842D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170B" w14:textId="77777777" w:rsidR="00BA3D17" w:rsidRDefault="00BA3D17">
    <w:pPr>
      <w:pStyle w:val="Footer"/>
    </w:pPr>
  </w:p>
  <w:p w14:paraId="19355287" w14:textId="77777777" w:rsidR="00842D86" w:rsidRDefault="00842D86"/>
  <w:p w14:paraId="2DE81996" w14:textId="77777777" w:rsidR="00842D86" w:rsidRDefault="00842D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3138" w14:textId="77777777" w:rsidR="00A73CE7" w:rsidRDefault="00A73C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CF00" w14:textId="77777777" w:rsidR="00871637" w:rsidRDefault="00871637" w:rsidP="00DF0A77">
      <w:pPr>
        <w:spacing w:after="0" w:line="240" w:lineRule="auto"/>
      </w:pPr>
      <w:r>
        <w:separator/>
      </w:r>
    </w:p>
  </w:footnote>
  <w:footnote w:type="continuationSeparator" w:id="0">
    <w:p w14:paraId="75790689" w14:textId="77777777" w:rsidR="00871637" w:rsidRDefault="00871637" w:rsidP="00DF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57B" w14:textId="6F8F7CAD" w:rsidR="00BA3D17" w:rsidRDefault="00805A7E">
    <w:pPr>
      <w:pStyle w:val="Header"/>
    </w:pPr>
    <w:r>
      <w:rPr>
        <w:noProof/>
      </w:rPr>
      <w:pict w14:anchorId="6EAEE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107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28B20E0C" w14:textId="77777777" w:rsidR="00842D86" w:rsidRDefault="00842D86"/>
  <w:p w14:paraId="6E665CD6" w14:textId="77777777" w:rsidR="00842D86" w:rsidRDefault="00842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D767" w14:textId="46539EF9" w:rsidR="00BA3D17" w:rsidRDefault="00805A7E">
    <w:pPr>
      <w:pStyle w:val="Header"/>
    </w:pPr>
    <w:r>
      <w:rPr>
        <w:noProof/>
      </w:rPr>
      <w:pict w14:anchorId="11069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107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94A6B23" w14:textId="77777777" w:rsidR="00842D86" w:rsidRDefault="00842D86"/>
  <w:p w14:paraId="4BC35874" w14:textId="77777777" w:rsidR="00842D86" w:rsidRDefault="00842D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3244" w14:textId="1ED9A704" w:rsidR="00BA3D17" w:rsidRDefault="00805A7E">
    <w:pPr>
      <w:pStyle w:val="Header"/>
    </w:pPr>
    <w:r>
      <w:rPr>
        <w:noProof/>
      </w:rPr>
      <w:pict w14:anchorId="1EE91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1073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E706AD4" w14:textId="77777777" w:rsidR="00842D86" w:rsidRDefault="00842D86"/>
  <w:p w14:paraId="16585DEA" w14:textId="77777777" w:rsidR="00842D86" w:rsidRDefault="00842D8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BDE8" w14:textId="01A8592F" w:rsidR="00805A7E" w:rsidRDefault="00805A7E">
    <w:pPr>
      <w:pStyle w:val="Header"/>
    </w:pPr>
    <w:r>
      <w:rPr>
        <w:noProof/>
      </w:rPr>
      <w:pict w14:anchorId="32720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10738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38224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0EC430" w14:textId="30060ACE" w:rsidR="00CF4AA0" w:rsidRDefault="00805A7E">
        <w:pPr>
          <w:pStyle w:val="Header"/>
          <w:jc w:val="right"/>
        </w:pPr>
        <w:r>
          <w:rPr>
            <w:noProof/>
          </w:rPr>
          <w:pict w14:anchorId="72D94D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3510739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CF4AA0">
          <w:fldChar w:fldCharType="begin"/>
        </w:r>
        <w:r w:rsidR="00CF4AA0">
          <w:instrText xml:space="preserve"> PAGE   \* MERGEFORMAT </w:instrText>
        </w:r>
        <w:r w:rsidR="00CF4AA0">
          <w:fldChar w:fldCharType="separate"/>
        </w:r>
        <w:r w:rsidR="00CF4AA0">
          <w:rPr>
            <w:noProof/>
          </w:rPr>
          <w:t>2</w:t>
        </w:r>
        <w:r w:rsidR="00CF4AA0">
          <w:rPr>
            <w:noProof/>
          </w:rPr>
          <w:fldChar w:fldCharType="end"/>
        </w:r>
      </w:p>
    </w:sdtContent>
  </w:sdt>
  <w:p w14:paraId="0CD552D0" w14:textId="77777777" w:rsidR="00CF4AA0" w:rsidRDefault="00CF4AA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94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F36FC2" w14:textId="45B7AFD0" w:rsidR="00CF4AA0" w:rsidRDefault="00805A7E">
        <w:pPr>
          <w:pStyle w:val="Header"/>
          <w:jc w:val="right"/>
        </w:pPr>
        <w:r>
          <w:rPr>
            <w:noProof/>
          </w:rPr>
          <w:pict w14:anchorId="32E09E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83510737" o:sp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CF4AA0">
          <w:fldChar w:fldCharType="begin"/>
        </w:r>
        <w:r w:rsidR="00CF4AA0">
          <w:instrText xml:space="preserve"> PAGE   \* MERGEFORMAT </w:instrText>
        </w:r>
        <w:r w:rsidR="00CF4AA0">
          <w:fldChar w:fldCharType="separate"/>
        </w:r>
        <w:r w:rsidR="00CF4AA0">
          <w:rPr>
            <w:noProof/>
          </w:rPr>
          <w:t>2</w:t>
        </w:r>
        <w:r w:rsidR="00CF4AA0">
          <w:rPr>
            <w:noProof/>
          </w:rPr>
          <w:fldChar w:fldCharType="end"/>
        </w:r>
      </w:p>
    </w:sdtContent>
  </w:sdt>
  <w:p w14:paraId="1E80E161" w14:textId="77777777" w:rsidR="00CF4AA0" w:rsidRDefault="00CF4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6CA"/>
    <w:multiLevelType w:val="hybridMultilevel"/>
    <w:tmpl w:val="B93E0BF0"/>
    <w:lvl w:ilvl="0" w:tplc="49C6C2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1833F0"/>
    <w:multiLevelType w:val="hybridMultilevel"/>
    <w:tmpl w:val="8976F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3A11"/>
    <w:multiLevelType w:val="hybridMultilevel"/>
    <w:tmpl w:val="AB50B68C"/>
    <w:lvl w:ilvl="0" w:tplc="4CC0BE3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30513C4"/>
    <w:multiLevelType w:val="multilevel"/>
    <w:tmpl w:val="4CD0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1.2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197E1C"/>
    <w:multiLevelType w:val="multilevel"/>
    <w:tmpl w:val="1F847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E616EB"/>
    <w:multiLevelType w:val="hybridMultilevel"/>
    <w:tmpl w:val="ACA84C90"/>
    <w:lvl w:ilvl="0" w:tplc="354863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70EA"/>
    <w:multiLevelType w:val="hybridMultilevel"/>
    <w:tmpl w:val="2F007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A672B"/>
    <w:multiLevelType w:val="multilevel"/>
    <w:tmpl w:val="65140832"/>
    <w:numStyleLink w:val="Style11"/>
  </w:abstractNum>
  <w:abstractNum w:abstractNumId="8" w15:restartNumberingAfterBreak="0">
    <w:nsid w:val="09523726"/>
    <w:multiLevelType w:val="hybridMultilevel"/>
    <w:tmpl w:val="BB3A4C88"/>
    <w:lvl w:ilvl="0" w:tplc="5A4471DC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3617"/>
    <w:multiLevelType w:val="multilevel"/>
    <w:tmpl w:val="BADE77CC"/>
    <w:lvl w:ilvl="0">
      <w:start w:val="1"/>
      <w:numFmt w:val="decimal"/>
      <w:lvlText w:val="4.2.%1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100C61FF"/>
    <w:multiLevelType w:val="hybridMultilevel"/>
    <w:tmpl w:val="7BBAF98E"/>
    <w:lvl w:ilvl="0" w:tplc="A9244EB8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62D03"/>
    <w:multiLevelType w:val="hybridMultilevel"/>
    <w:tmpl w:val="DD5CA6BE"/>
    <w:lvl w:ilvl="0" w:tplc="D2209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260AC"/>
    <w:multiLevelType w:val="hybridMultilevel"/>
    <w:tmpl w:val="C8C8570A"/>
    <w:lvl w:ilvl="0" w:tplc="03CE72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22287"/>
    <w:multiLevelType w:val="multilevel"/>
    <w:tmpl w:val="C5140E2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1C14AA"/>
    <w:multiLevelType w:val="hybridMultilevel"/>
    <w:tmpl w:val="090EDAF4"/>
    <w:lvl w:ilvl="0" w:tplc="473C48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D58B7"/>
    <w:multiLevelType w:val="multilevel"/>
    <w:tmpl w:val="705CE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9D3FC8"/>
    <w:multiLevelType w:val="hybridMultilevel"/>
    <w:tmpl w:val="1E923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3267"/>
    <w:multiLevelType w:val="hybridMultilevel"/>
    <w:tmpl w:val="91563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D1E04"/>
    <w:multiLevelType w:val="multilevel"/>
    <w:tmpl w:val="3AB82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3361416"/>
    <w:multiLevelType w:val="hybridMultilevel"/>
    <w:tmpl w:val="829AB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4456E"/>
    <w:multiLevelType w:val="multilevel"/>
    <w:tmpl w:val="AFA605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79962C7"/>
    <w:multiLevelType w:val="multilevel"/>
    <w:tmpl w:val="0B74C7A6"/>
    <w:styleLink w:val="Style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7F3477C"/>
    <w:multiLevelType w:val="hybridMultilevel"/>
    <w:tmpl w:val="29DC4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5121F"/>
    <w:multiLevelType w:val="hybridMultilevel"/>
    <w:tmpl w:val="A6B4B46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C0E601A"/>
    <w:multiLevelType w:val="multilevel"/>
    <w:tmpl w:val="931616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7.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5037CBA"/>
    <w:multiLevelType w:val="hybridMultilevel"/>
    <w:tmpl w:val="5928B30A"/>
    <w:lvl w:ilvl="0" w:tplc="811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03146"/>
    <w:multiLevelType w:val="multilevel"/>
    <w:tmpl w:val="3DECF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7254761"/>
    <w:multiLevelType w:val="multilevel"/>
    <w:tmpl w:val="B65C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7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7D8124B"/>
    <w:multiLevelType w:val="hybridMultilevel"/>
    <w:tmpl w:val="F464366C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9" w15:restartNumberingAfterBreak="0">
    <w:nsid w:val="37F86EE3"/>
    <w:multiLevelType w:val="hybridMultilevel"/>
    <w:tmpl w:val="80F22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8F7B41"/>
    <w:multiLevelType w:val="hybridMultilevel"/>
    <w:tmpl w:val="2C5E8C6C"/>
    <w:lvl w:ilvl="0" w:tplc="D15E83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3B207F10"/>
    <w:multiLevelType w:val="multilevel"/>
    <w:tmpl w:val="4F0862A0"/>
    <w:lvl w:ilvl="0">
      <w:start w:val="1"/>
      <w:numFmt w:val="decimal"/>
      <w:lvlText w:val="4.3.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3BD50859"/>
    <w:multiLevelType w:val="hybridMultilevel"/>
    <w:tmpl w:val="0B1EB876"/>
    <w:lvl w:ilvl="0" w:tplc="47BECA6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1DC47E4"/>
    <w:multiLevelType w:val="hybridMultilevel"/>
    <w:tmpl w:val="13260C8E"/>
    <w:lvl w:ilvl="0" w:tplc="C292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1E086F"/>
    <w:multiLevelType w:val="hybridMultilevel"/>
    <w:tmpl w:val="6B1CA368"/>
    <w:lvl w:ilvl="0" w:tplc="CE30C660">
      <w:start w:val="7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553C6D"/>
    <w:multiLevelType w:val="hybridMultilevel"/>
    <w:tmpl w:val="AFA4BF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BDD204A"/>
    <w:multiLevelType w:val="hybridMultilevel"/>
    <w:tmpl w:val="8DBE3FD0"/>
    <w:lvl w:ilvl="0" w:tplc="6186CCE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621AD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E025FCB"/>
    <w:multiLevelType w:val="hybridMultilevel"/>
    <w:tmpl w:val="D508163E"/>
    <w:lvl w:ilvl="0" w:tplc="B2141E20">
      <w:start w:val="5"/>
      <w:numFmt w:val="decimal"/>
      <w:lvlText w:val="3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5455A"/>
    <w:multiLevelType w:val="hybridMultilevel"/>
    <w:tmpl w:val="7C2C1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850CDD"/>
    <w:multiLevelType w:val="multilevel"/>
    <w:tmpl w:val="7DD491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528F021D"/>
    <w:multiLevelType w:val="hybridMultilevel"/>
    <w:tmpl w:val="8892C82A"/>
    <w:lvl w:ilvl="0" w:tplc="04090019">
      <w:start w:val="1"/>
      <w:numFmt w:val="low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2" w15:restartNumberingAfterBreak="0">
    <w:nsid w:val="52CC2376"/>
    <w:multiLevelType w:val="hybridMultilevel"/>
    <w:tmpl w:val="440A85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4A20DA8"/>
    <w:multiLevelType w:val="multilevel"/>
    <w:tmpl w:val="F76EC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A3C7CB0"/>
    <w:multiLevelType w:val="multilevel"/>
    <w:tmpl w:val="F6CA59CC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E984AC3"/>
    <w:multiLevelType w:val="hybridMultilevel"/>
    <w:tmpl w:val="7DF80D46"/>
    <w:lvl w:ilvl="0" w:tplc="1076C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2108A"/>
    <w:multiLevelType w:val="hybridMultilevel"/>
    <w:tmpl w:val="2E3E6328"/>
    <w:lvl w:ilvl="0" w:tplc="E9808C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9F6E15"/>
    <w:multiLevelType w:val="hybridMultilevel"/>
    <w:tmpl w:val="FF224ADA"/>
    <w:lvl w:ilvl="0" w:tplc="BD90F0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57BB5"/>
    <w:multiLevelType w:val="hybridMultilevel"/>
    <w:tmpl w:val="A27CE1FE"/>
    <w:lvl w:ilvl="0" w:tplc="CD04A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1534E3"/>
    <w:multiLevelType w:val="hybridMultilevel"/>
    <w:tmpl w:val="968AD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F524EB"/>
    <w:multiLevelType w:val="multilevel"/>
    <w:tmpl w:val="2E70F1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67B55E2D"/>
    <w:multiLevelType w:val="hybridMultilevel"/>
    <w:tmpl w:val="66624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EA2EA0"/>
    <w:multiLevelType w:val="multilevel"/>
    <w:tmpl w:val="65140832"/>
    <w:styleLink w:val="Style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3.1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C9A30E1"/>
    <w:multiLevelType w:val="hybridMultilevel"/>
    <w:tmpl w:val="175694E4"/>
    <w:lvl w:ilvl="0" w:tplc="48160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6D08E4"/>
    <w:multiLevelType w:val="hybridMultilevel"/>
    <w:tmpl w:val="9B581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F85E53"/>
    <w:multiLevelType w:val="hybridMultilevel"/>
    <w:tmpl w:val="E6F4D348"/>
    <w:lvl w:ilvl="0" w:tplc="04090019">
      <w:start w:val="1"/>
      <w:numFmt w:val="lowerLetter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6" w15:restartNumberingAfterBreak="0">
    <w:nsid w:val="71E35031"/>
    <w:multiLevelType w:val="hybridMultilevel"/>
    <w:tmpl w:val="A982887A"/>
    <w:lvl w:ilvl="0" w:tplc="52F27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42602"/>
    <w:multiLevelType w:val="hybridMultilevel"/>
    <w:tmpl w:val="829C3226"/>
    <w:lvl w:ilvl="0" w:tplc="3D8E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4134AF2"/>
    <w:multiLevelType w:val="hybridMultilevel"/>
    <w:tmpl w:val="B37AE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86480C"/>
    <w:multiLevelType w:val="hybridMultilevel"/>
    <w:tmpl w:val="680020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CF51C42"/>
    <w:multiLevelType w:val="hybridMultilevel"/>
    <w:tmpl w:val="971E0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9F7F06"/>
    <w:multiLevelType w:val="multilevel"/>
    <w:tmpl w:val="FE80066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2" w15:restartNumberingAfterBreak="0">
    <w:nsid w:val="7E1E258D"/>
    <w:multiLevelType w:val="hybridMultilevel"/>
    <w:tmpl w:val="A4B43942"/>
    <w:lvl w:ilvl="0" w:tplc="742A08D2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D46148"/>
    <w:multiLevelType w:val="hybridMultilevel"/>
    <w:tmpl w:val="92266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08945">
    <w:abstractNumId w:val="48"/>
  </w:num>
  <w:num w:numId="2" w16cid:durableId="1756901619">
    <w:abstractNumId w:val="57"/>
  </w:num>
  <w:num w:numId="3" w16cid:durableId="352652708">
    <w:abstractNumId w:val="37"/>
  </w:num>
  <w:num w:numId="4" w16cid:durableId="1127506535">
    <w:abstractNumId w:val="13"/>
  </w:num>
  <w:num w:numId="5" w16cid:durableId="658768565">
    <w:abstractNumId w:val="15"/>
  </w:num>
  <w:num w:numId="6" w16cid:durableId="1046635562">
    <w:abstractNumId w:val="50"/>
  </w:num>
  <w:num w:numId="7" w16cid:durableId="69742477">
    <w:abstractNumId w:val="61"/>
  </w:num>
  <w:num w:numId="8" w16cid:durableId="1127502256">
    <w:abstractNumId w:val="18"/>
  </w:num>
  <w:num w:numId="9" w16cid:durableId="1047489705">
    <w:abstractNumId w:val="16"/>
  </w:num>
  <w:num w:numId="10" w16cid:durableId="1320109315">
    <w:abstractNumId w:val="54"/>
  </w:num>
  <w:num w:numId="11" w16cid:durableId="1000038529">
    <w:abstractNumId w:val="49"/>
  </w:num>
  <w:num w:numId="12" w16cid:durableId="2076732576">
    <w:abstractNumId w:val="22"/>
  </w:num>
  <w:num w:numId="13" w16cid:durableId="291987564">
    <w:abstractNumId w:val="39"/>
  </w:num>
  <w:num w:numId="14" w16cid:durableId="1646088532">
    <w:abstractNumId w:val="51"/>
  </w:num>
  <w:num w:numId="15" w16cid:durableId="1326858039">
    <w:abstractNumId w:val="60"/>
  </w:num>
  <w:num w:numId="16" w16cid:durableId="1475370639">
    <w:abstractNumId w:val="17"/>
  </w:num>
  <w:num w:numId="17" w16cid:durableId="1437402106">
    <w:abstractNumId w:val="1"/>
  </w:num>
  <w:num w:numId="18" w16cid:durableId="807936992">
    <w:abstractNumId w:val="19"/>
  </w:num>
  <w:num w:numId="19" w16cid:durableId="211505513">
    <w:abstractNumId w:val="6"/>
  </w:num>
  <w:num w:numId="20" w16cid:durableId="1854030502">
    <w:abstractNumId w:val="29"/>
  </w:num>
  <w:num w:numId="21" w16cid:durableId="664667544">
    <w:abstractNumId w:val="58"/>
  </w:num>
  <w:num w:numId="22" w16cid:durableId="966197854">
    <w:abstractNumId w:val="63"/>
  </w:num>
  <w:num w:numId="23" w16cid:durableId="135532240">
    <w:abstractNumId w:val="53"/>
  </w:num>
  <w:num w:numId="24" w16cid:durableId="788861697">
    <w:abstractNumId w:val="43"/>
  </w:num>
  <w:num w:numId="25" w16cid:durableId="1462074755">
    <w:abstractNumId w:val="46"/>
  </w:num>
  <w:num w:numId="26" w16cid:durableId="1537505487">
    <w:abstractNumId w:val="40"/>
  </w:num>
  <w:num w:numId="27" w16cid:durableId="1621179351">
    <w:abstractNumId w:val="23"/>
  </w:num>
  <w:num w:numId="28" w16cid:durableId="1065687454">
    <w:abstractNumId w:val="21"/>
  </w:num>
  <w:num w:numId="29" w16cid:durableId="100419320">
    <w:abstractNumId w:val="27"/>
  </w:num>
  <w:num w:numId="30" w16cid:durableId="1683627115">
    <w:abstractNumId w:val="24"/>
  </w:num>
  <w:num w:numId="31" w16cid:durableId="2103380498">
    <w:abstractNumId w:val="28"/>
  </w:num>
  <w:num w:numId="32" w16cid:durableId="2017031469">
    <w:abstractNumId w:val="55"/>
  </w:num>
  <w:num w:numId="33" w16cid:durableId="121971814">
    <w:abstractNumId w:val="41"/>
  </w:num>
  <w:num w:numId="34" w16cid:durableId="2105959464">
    <w:abstractNumId w:val="35"/>
  </w:num>
  <w:num w:numId="35" w16cid:durableId="588124187">
    <w:abstractNumId w:val="59"/>
  </w:num>
  <w:num w:numId="36" w16cid:durableId="734739194">
    <w:abstractNumId w:val="42"/>
  </w:num>
  <w:num w:numId="37" w16cid:durableId="1467352681">
    <w:abstractNumId w:val="20"/>
  </w:num>
  <w:num w:numId="38" w16cid:durableId="442111809">
    <w:abstractNumId w:val="0"/>
  </w:num>
  <w:num w:numId="39" w16cid:durableId="1197817048">
    <w:abstractNumId w:val="31"/>
  </w:num>
  <w:num w:numId="40" w16cid:durableId="1498616055">
    <w:abstractNumId w:val="52"/>
  </w:num>
  <w:num w:numId="41" w16cid:durableId="111902409">
    <w:abstractNumId w:val="7"/>
  </w:num>
  <w:num w:numId="42" w16cid:durableId="1242595005">
    <w:abstractNumId w:val="26"/>
  </w:num>
  <w:num w:numId="43" w16cid:durableId="1546943408">
    <w:abstractNumId w:val="4"/>
  </w:num>
  <w:num w:numId="44" w16cid:durableId="1793746641">
    <w:abstractNumId w:val="3"/>
  </w:num>
  <w:num w:numId="45" w16cid:durableId="515117781">
    <w:abstractNumId w:val="14"/>
  </w:num>
  <w:num w:numId="46" w16cid:durableId="1333025317">
    <w:abstractNumId w:val="5"/>
  </w:num>
  <w:num w:numId="47" w16cid:durableId="360282947">
    <w:abstractNumId w:val="12"/>
  </w:num>
  <w:num w:numId="48" w16cid:durableId="911231399">
    <w:abstractNumId w:val="44"/>
  </w:num>
  <w:num w:numId="49" w16cid:durableId="1749767335">
    <w:abstractNumId w:val="33"/>
  </w:num>
  <w:num w:numId="50" w16cid:durableId="777070110">
    <w:abstractNumId w:val="10"/>
  </w:num>
  <w:num w:numId="51" w16cid:durableId="1566138145">
    <w:abstractNumId w:val="38"/>
  </w:num>
  <w:num w:numId="52" w16cid:durableId="1703171514">
    <w:abstractNumId w:val="62"/>
  </w:num>
  <w:num w:numId="53" w16cid:durableId="1806925019">
    <w:abstractNumId w:val="34"/>
  </w:num>
  <w:num w:numId="54" w16cid:durableId="1429890357">
    <w:abstractNumId w:val="47"/>
  </w:num>
  <w:num w:numId="55" w16cid:durableId="1348294161">
    <w:abstractNumId w:val="8"/>
  </w:num>
  <w:num w:numId="56" w16cid:durableId="1225916957">
    <w:abstractNumId w:val="36"/>
  </w:num>
  <w:num w:numId="57" w16cid:durableId="773984003">
    <w:abstractNumId w:val="45"/>
  </w:num>
  <w:num w:numId="58" w16cid:durableId="1456488603">
    <w:abstractNumId w:val="56"/>
  </w:num>
  <w:num w:numId="59" w16cid:durableId="1173767013">
    <w:abstractNumId w:val="25"/>
  </w:num>
  <w:num w:numId="60" w16cid:durableId="822623996">
    <w:abstractNumId w:val="9"/>
  </w:num>
  <w:num w:numId="61" w16cid:durableId="935483023">
    <w:abstractNumId w:val="30"/>
  </w:num>
  <w:num w:numId="62" w16cid:durableId="1452015632">
    <w:abstractNumId w:val="2"/>
  </w:num>
  <w:num w:numId="63" w16cid:durableId="1795521197">
    <w:abstractNumId w:val="32"/>
  </w:num>
  <w:num w:numId="64" w16cid:durableId="1423334648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2P6Cw7v/03NFN+ROmXp6anAAzi05asC55KmHJRQSqB1/J4Fgy7L3kLfY9Vo+FAJJLG+SbKj/oezYO6xsBV9Lw==" w:salt="p8WHxN0AIhx8Jap7rBpF2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25"/>
    <w:rsid w:val="00005BD2"/>
    <w:rsid w:val="000105B8"/>
    <w:rsid w:val="0002021B"/>
    <w:rsid w:val="00030CEB"/>
    <w:rsid w:val="000416A3"/>
    <w:rsid w:val="0004313C"/>
    <w:rsid w:val="00053A97"/>
    <w:rsid w:val="00054A14"/>
    <w:rsid w:val="0006742E"/>
    <w:rsid w:val="00067B40"/>
    <w:rsid w:val="000706FD"/>
    <w:rsid w:val="0008470C"/>
    <w:rsid w:val="00084BD7"/>
    <w:rsid w:val="0008672A"/>
    <w:rsid w:val="000A0ABC"/>
    <w:rsid w:val="000A585B"/>
    <w:rsid w:val="000C3A9E"/>
    <w:rsid w:val="000C5CD2"/>
    <w:rsid w:val="000C5E22"/>
    <w:rsid w:val="000D1292"/>
    <w:rsid w:val="000D6614"/>
    <w:rsid w:val="000D702D"/>
    <w:rsid w:val="000E3355"/>
    <w:rsid w:val="000E4310"/>
    <w:rsid w:val="000F7453"/>
    <w:rsid w:val="00101F31"/>
    <w:rsid w:val="00106886"/>
    <w:rsid w:val="00115E90"/>
    <w:rsid w:val="001162E5"/>
    <w:rsid w:val="00116B03"/>
    <w:rsid w:val="00121D14"/>
    <w:rsid w:val="0012323B"/>
    <w:rsid w:val="001243F0"/>
    <w:rsid w:val="00132216"/>
    <w:rsid w:val="00140D94"/>
    <w:rsid w:val="00147DF1"/>
    <w:rsid w:val="00152BE9"/>
    <w:rsid w:val="00155933"/>
    <w:rsid w:val="00156344"/>
    <w:rsid w:val="00164C90"/>
    <w:rsid w:val="001657B0"/>
    <w:rsid w:val="0016756D"/>
    <w:rsid w:val="001679C0"/>
    <w:rsid w:val="001740A4"/>
    <w:rsid w:val="00185537"/>
    <w:rsid w:val="001969D6"/>
    <w:rsid w:val="001A1260"/>
    <w:rsid w:val="001B2FC0"/>
    <w:rsid w:val="001C2CBD"/>
    <w:rsid w:val="001D0D3F"/>
    <w:rsid w:val="001D3B50"/>
    <w:rsid w:val="001D5A59"/>
    <w:rsid w:val="001D787C"/>
    <w:rsid w:val="001F2B34"/>
    <w:rsid w:val="00202288"/>
    <w:rsid w:val="002108D0"/>
    <w:rsid w:val="0022610C"/>
    <w:rsid w:val="00226343"/>
    <w:rsid w:val="0022703C"/>
    <w:rsid w:val="00235A0D"/>
    <w:rsid w:val="00272249"/>
    <w:rsid w:val="0027364F"/>
    <w:rsid w:val="00273D27"/>
    <w:rsid w:val="00283155"/>
    <w:rsid w:val="002844CC"/>
    <w:rsid w:val="00285C43"/>
    <w:rsid w:val="002872BC"/>
    <w:rsid w:val="002A254A"/>
    <w:rsid w:val="002A2A31"/>
    <w:rsid w:val="002A59ED"/>
    <w:rsid w:val="002C10F1"/>
    <w:rsid w:val="002C66D5"/>
    <w:rsid w:val="002D124B"/>
    <w:rsid w:val="002D2D80"/>
    <w:rsid w:val="002E36BE"/>
    <w:rsid w:val="002E471F"/>
    <w:rsid w:val="002E5A69"/>
    <w:rsid w:val="002F00AE"/>
    <w:rsid w:val="002F0D5B"/>
    <w:rsid w:val="00303B03"/>
    <w:rsid w:val="003058B8"/>
    <w:rsid w:val="0031080A"/>
    <w:rsid w:val="00316DF5"/>
    <w:rsid w:val="0032005C"/>
    <w:rsid w:val="00321D74"/>
    <w:rsid w:val="00331A39"/>
    <w:rsid w:val="003325A3"/>
    <w:rsid w:val="0034405C"/>
    <w:rsid w:val="00350BD1"/>
    <w:rsid w:val="0037193C"/>
    <w:rsid w:val="003819EF"/>
    <w:rsid w:val="00391344"/>
    <w:rsid w:val="0039208F"/>
    <w:rsid w:val="003B02FC"/>
    <w:rsid w:val="003C125F"/>
    <w:rsid w:val="003C19DF"/>
    <w:rsid w:val="003F6DE5"/>
    <w:rsid w:val="004059EB"/>
    <w:rsid w:val="00407A33"/>
    <w:rsid w:val="004122FC"/>
    <w:rsid w:val="00420173"/>
    <w:rsid w:val="004216C4"/>
    <w:rsid w:val="0043408D"/>
    <w:rsid w:val="00435064"/>
    <w:rsid w:val="0043563F"/>
    <w:rsid w:val="0044028E"/>
    <w:rsid w:val="004568AD"/>
    <w:rsid w:val="004607A9"/>
    <w:rsid w:val="004629EE"/>
    <w:rsid w:val="00463C47"/>
    <w:rsid w:val="00464627"/>
    <w:rsid w:val="00464AC7"/>
    <w:rsid w:val="004926BF"/>
    <w:rsid w:val="00496AD1"/>
    <w:rsid w:val="00497B81"/>
    <w:rsid w:val="004A648B"/>
    <w:rsid w:val="004B6A67"/>
    <w:rsid w:val="004C0EED"/>
    <w:rsid w:val="004C4A7F"/>
    <w:rsid w:val="004D4286"/>
    <w:rsid w:val="004D7619"/>
    <w:rsid w:val="004F0B69"/>
    <w:rsid w:val="004F44ED"/>
    <w:rsid w:val="00503B64"/>
    <w:rsid w:val="005170AA"/>
    <w:rsid w:val="00520868"/>
    <w:rsid w:val="0052323E"/>
    <w:rsid w:val="00524E95"/>
    <w:rsid w:val="005377BB"/>
    <w:rsid w:val="005512EE"/>
    <w:rsid w:val="00556F78"/>
    <w:rsid w:val="00560A80"/>
    <w:rsid w:val="00565D1D"/>
    <w:rsid w:val="00567988"/>
    <w:rsid w:val="00571173"/>
    <w:rsid w:val="00573462"/>
    <w:rsid w:val="00574F4A"/>
    <w:rsid w:val="0059021B"/>
    <w:rsid w:val="00596A13"/>
    <w:rsid w:val="005A570B"/>
    <w:rsid w:val="005A67BF"/>
    <w:rsid w:val="005B108D"/>
    <w:rsid w:val="005B2954"/>
    <w:rsid w:val="005C7E07"/>
    <w:rsid w:val="005D14FA"/>
    <w:rsid w:val="005E5525"/>
    <w:rsid w:val="005F33FB"/>
    <w:rsid w:val="005F72F7"/>
    <w:rsid w:val="005F799A"/>
    <w:rsid w:val="00602068"/>
    <w:rsid w:val="00610F2B"/>
    <w:rsid w:val="006132F4"/>
    <w:rsid w:val="00622AD5"/>
    <w:rsid w:val="0062307B"/>
    <w:rsid w:val="00627628"/>
    <w:rsid w:val="0064133D"/>
    <w:rsid w:val="00650284"/>
    <w:rsid w:val="006616EF"/>
    <w:rsid w:val="00661A57"/>
    <w:rsid w:val="00665434"/>
    <w:rsid w:val="00665FD0"/>
    <w:rsid w:val="00667D5F"/>
    <w:rsid w:val="006723AB"/>
    <w:rsid w:val="00680C80"/>
    <w:rsid w:val="00682AC9"/>
    <w:rsid w:val="0068610F"/>
    <w:rsid w:val="006A4201"/>
    <w:rsid w:val="006A502D"/>
    <w:rsid w:val="006A7278"/>
    <w:rsid w:val="006B1AC1"/>
    <w:rsid w:val="006C4E66"/>
    <w:rsid w:val="006D0B9E"/>
    <w:rsid w:val="006D1104"/>
    <w:rsid w:val="006D1EE5"/>
    <w:rsid w:val="006D20D8"/>
    <w:rsid w:val="006D2A68"/>
    <w:rsid w:val="006E0081"/>
    <w:rsid w:val="006E3A75"/>
    <w:rsid w:val="007053E0"/>
    <w:rsid w:val="007162F7"/>
    <w:rsid w:val="00717ABB"/>
    <w:rsid w:val="007406D4"/>
    <w:rsid w:val="007502BF"/>
    <w:rsid w:val="00754029"/>
    <w:rsid w:val="00756644"/>
    <w:rsid w:val="00761F1E"/>
    <w:rsid w:val="0076378F"/>
    <w:rsid w:val="00771D40"/>
    <w:rsid w:val="0077614A"/>
    <w:rsid w:val="00776FDA"/>
    <w:rsid w:val="00780466"/>
    <w:rsid w:val="00797EF1"/>
    <w:rsid w:val="007A0FB0"/>
    <w:rsid w:val="007B7BA5"/>
    <w:rsid w:val="007C6C50"/>
    <w:rsid w:val="007E3228"/>
    <w:rsid w:val="007F053D"/>
    <w:rsid w:val="007F109D"/>
    <w:rsid w:val="007F6BAA"/>
    <w:rsid w:val="007F7446"/>
    <w:rsid w:val="00802060"/>
    <w:rsid w:val="00805A7E"/>
    <w:rsid w:val="008219E5"/>
    <w:rsid w:val="00821FBB"/>
    <w:rsid w:val="0083720D"/>
    <w:rsid w:val="00841409"/>
    <w:rsid w:val="00842D86"/>
    <w:rsid w:val="00852BD1"/>
    <w:rsid w:val="00854376"/>
    <w:rsid w:val="008612C5"/>
    <w:rsid w:val="00864E99"/>
    <w:rsid w:val="00871637"/>
    <w:rsid w:val="008739D9"/>
    <w:rsid w:val="00877D3B"/>
    <w:rsid w:val="00882841"/>
    <w:rsid w:val="00887D7A"/>
    <w:rsid w:val="008943C4"/>
    <w:rsid w:val="008A136B"/>
    <w:rsid w:val="008B22D4"/>
    <w:rsid w:val="008B6D50"/>
    <w:rsid w:val="008C5B3F"/>
    <w:rsid w:val="008D261C"/>
    <w:rsid w:val="008D2CB7"/>
    <w:rsid w:val="008D6A5D"/>
    <w:rsid w:val="008E4038"/>
    <w:rsid w:val="008E59F1"/>
    <w:rsid w:val="008E5BCE"/>
    <w:rsid w:val="008E66BE"/>
    <w:rsid w:val="008F443C"/>
    <w:rsid w:val="008F458B"/>
    <w:rsid w:val="008F55C6"/>
    <w:rsid w:val="00905F68"/>
    <w:rsid w:val="00906F21"/>
    <w:rsid w:val="00934948"/>
    <w:rsid w:val="00941667"/>
    <w:rsid w:val="00966B97"/>
    <w:rsid w:val="00981C67"/>
    <w:rsid w:val="00985C1E"/>
    <w:rsid w:val="00987393"/>
    <w:rsid w:val="009968EA"/>
    <w:rsid w:val="009A012E"/>
    <w:rsid w:val="009B3D40"/>
    <w:rsid w:val="009B763F"/>
    <w:rsid w:val="009B76F4"/>
    <w:rsid w:val="009C2A74"/>
    <w:rsid w:val="009C340E"/>
    <w:rsid w:val="009C441E"/>
    <w:rsid w:val="009C76BC"/>
    <w:rsid w:val="009E0624"/>
    <w:rsid w:val="009E14DD"/>
    <w:rsid w:val="009E4F7E"/>
    <w:rsid w:val="009E5F11"/>
    <w:rsid w:val="009E6467"/>
    <w:rsid w:val="009F642A"/>
    <w:rsid w:val="00A16812"/>
    <w:rsid w:val="00A257ED"/>
    <w:rsid w:val="00A272D9"/>
    <w:rsid w:val="00A313A0"/>
    <w:rsid w:val="00A339F1"/>
    <w:rsid w:val="00A35569"/>
    <w:rsid w:val="00A35B0C"/>
    <w:rsid w:val="00A37124"/>
    <w:rsid w:val="00A73CE7"/>
    <w:rsid w:val="00A77D61"/>
    <w:rsid w:val="00A92DDC"/>
    <w:rsid w:val="00A93C2F"/>
    <w:rsid w:val="00A961A9"/>
    <w:rsid w:val="00A962C7"/>
    <w:rsid w:val="00A97A0A"/>
    <w:rsid w:val="00A97DAF"/>
    <w:rsid w:val="00AA1999"/>
    <w:rsid w:val="00AA3F3A"/>
    <w:rsid w:val="00AB0886"/>
    <w:rsid w:val="00AB1F3C"/>
    <w:rsid w:val="00AB611F"/>
    <w:rsid w:val="00AC14EF"/>
    <w:rsid w:val="00AD2158"/>
    <w:rsid w:val="00AD2BA8"/>
    <w:rsid w:val="00AD2BFD"/>
    <w:rsid w:val="00AD5B95"/>
    <w:rsid w:val="00AE0413"/>
    <w:rsid w:val="00AE3585"/>
    <w:rsid w:val="00AE4B4C"/>
    <w:rsid w:val="00AF15FB"/>
    <w:rsid w:val="00AF6483"/>
    <w:rsid w:val="00B00D5B"/>
    <w:rsid w:val="00B033F3"/>
    <w:rsid w:val="00B1208A"/>
    <w:rsid w:val="00B16F3F"/>
    <w:rsid w:val="00B21896"/>
    <w:rsid w:val="00B22E7B"/>
    <w:rsid w:val="00B22EFB"/>
    <w:rsid w:val="00B24E55"/>
    <w:rsid w:val="00B30C1D"/>
    <w:rsid w:val="00B37D01"/>
    <w:rsid w:val="00B51397"/>
    <w:rsid w:val="00B548DC"/>
    <w:rsid w:val="00B61C9D"/>
    <w:rsid w:val="00B623C7"/>
    <w:rsid w:val="00B6317E"/>
    <w:rsid w:val="00B63E2B"/>
    <w:rsid w:val="00B64EA2"/>
    <w:rsid w:val="00B71C63"/>
    <w:rsid w:val="00B74542"/>
    <w:rsid w:val="00B75338"/>
    <w:rsid w:val="00B8586C"/>
    <w:rsid w:val="00B9208E"/>
    <w:rsid w:val="00B93ABC"/>
    <w:rsid w:val="00B9493D"/>
    <w:rsid w:val="00BA3CA0"/>
    <w:rsid w:val="00BA3D17"/>
    <w:rsid w:val="00BA64AA"/>
    <w:rsid w:val="00BC2026"/>
    <w:rsid w:val="00BC6936"/>
    <w:rsid w:val="00BC7FE2"/>
    <w:rsid w:val="00BD45E1"/>
    <w:rsid w:val="00BD6817"/>
    <w:rsid w:val="00BE2F01"/>
    <w:rsid w:val="00BE300A"/>
    <w:rsid w:val="00BF3370"/>
    <w:rsid w:val="00BF7555"/>
    <w:rsid w:val="00C0036A"/>
    <w:rsid w:val="00C041AA"/>
    <w:rsid w:val="00C0751A"/>
    <w:rsid w:val="00C11688"/>
    <w:rsid w:val="00C1246F"/>
    <w:rsid w:val="00C16F0D"/>
    <w:rsid w:val="00C33A8F"/>
    <w:rsid w:val="00C35D26"/>
    <w:rsid w:val="00C425F1"/>
    <w:rsid w:val="00C439C2"/>
    <w:rsid w:val="00C444A9"/>
    <w:rsid w:val="00C5434C"/>
    <w:rsid w:val="00C56ABD"/>
    <w:rsid w:val="00C67AA0"/>
    <w:rsid w:val="00C76FDB"/>
    <w:rsid w:val="00C7724E"/>
    <w:rsid w:val="00C81EDA"/>
    <w:rsid w:val="00C8323E"/>
    <w:rsid w:val="00C87CD2"/>
    <w:rsid w:val="00C95D25"/>
    <w:rsid w:val="00C965AA"/>
    <w:rsid w:val="00CA13FC"/>
    <w:rsid w:val="00CB4422"/>
    <w:rsid w:val="00CC7326"/>
    <w:rsid w:val="00CE48A1"/>
    <w:rsid w:val="00CE4BD5"/>
    <w:rsid w:val="00CE5FC9"/>
    <w:rsid w:val="00CF1A7E"/>
    <w:rsid w:val="00CF45C1"/>
    <w:rsid w:val="00CF4AA0"/>
    <w:rsid w:val="00CF6B49"/>
    <w:rsid w:val="00D00860"/>
    <w:rsid w:val="00D03E2B"/>
    <w:rsid w:val="00D05451"/>
    <w:rsid w:val="00D15F62"/>
    <w:rsid w:val="00D24E71"/>
    <w:rsid w:val="00D27F78"/>
    <w:rsid w:val="00D41C56"/>
    <w:rsid w:val="00D46092"/>
    <w:rsid w:val="00D5165D"/>
    <w:rsid w:val="00D62150"/>
    <w:rsid w:val="00D62C4B"/>
    <w:rsid w:val="00D7321E"/>
    <w:rsid w:val="00D776E1"/>
    <w:rsid w:val="00D80CA7"/>
    <w:rsid w:val="00D92B0F"/>
    <w:rsid w:val="00DA1CB1"/>
    <w:rsid w:val="00DC1A77"/>
    <w:rsid w:val="00DE6735"/>
    <w:rsid w:val="00DE6A14"/>
    <w:rsid w:val="00DF0A77"/>
    <w:rsid w:val="00DF5927"/>
    <w:rsid w:val="00DF5C81"/>
    <w:rsid w:val="00E04675"/>
    <w:rsid w:val="00E24BDE"/>
    <w:rsid w:val="00E37353"/>
    <w:rsid w:val="00E37387"/>
    <w:rsid w:val="00E46519"/>
    <w:rsid w:val="00E97EB1"/>
    <w:rsid w:val="00EB3384"/>
    <w:rsid w:val="00EC37CB"/>
    <w:rsid w:val="00EC38B6"/>
    <w:rsid w:val="00ED5761"/>
    <w:rsid w:val="00EE5407"/>
    <w:rsid w:val="00EF4146"/>
    <w:rsid w:val="00EF6F9D"/>
    <w:rsid w:val="00F103FE"/>
    <w:rsid w:val="00F24625"/>
    <w:rsid w:val="00F24DC6"/>
    <w:rsid w:val="00F33114"/>
    <w:rsid w:val="00F34FC9"/>
    <w:rsid w:val="00F37078"/>
    <w:rsid w:val="00F40627"/>
    <w:rsid w:val="00F447B8"/>
    <w:rsid w:val="00F50076"/>
    <w:rsid w:val="00F5217F"/>
    <w:rsid w:val="00F70390"/>
    <w:rsid w:val="00F73152"/>
    <w:rsid w:val="00F86531"/>
    <w:rsid w:val="00F86B2F"/>
    <w:rsid w:val="00FA042C"/>
    <w:rsid w:val="00FA09A6"/>
    <w:rsid w:val="00FA2570"/>
    <w:rsid w:val="00FA2EEE"/>
    <w:rsid w:val="00FB293F"/>
    <w:rsid w:val="00FC0223"/>
    <w:rsid w:val="00FC76D9"/>
    <w:rsid w:val="00FD07BD"/>
    <w:rsid w:val="00FD2DDC"/>
    <w:rsid w:val="00FD5836"/>
    <w:rsid w:val="00FE0750"/>
    <w:rsid w:val="00FF15D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5A507"/>
  <w15:chartTrackingRefBased/>
  <w15:docId w15:val="{BD844C3A-25B1-4CA9-8161-B682FFA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25"/>
  </w:style>
  <w:style w:type="paragraph" w:styleId="Heading1">
    <w:name w:val="heading 1"/>
    <w:basedOn w:val="Normal"/>
    <w:next w:val="Normal"/>
    <w:link w:val="Heading1Char"/>
    <w:uiPriority w:val="9"/>
    <w:qFormat/>
    <w:rsid w:val="00AE4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525"/>
    <w:pPr>
      <w:ind w:left="720"/>
      <w:contextualSpacing/>
    </w:pPr>
  </w:style>
  <w:style w:type="numbering" w:customStyle="1" w:styleId="Style1">
    <w:name w:val="Style1"/>
    <w:uiPriority w:val="99"/>
    <w:rsid w:val="00B74542"/>
    <w:pPr>
      <w:numPr>
        <w:numId w:val="3"/>
      </w:numPr>
    </w:pPr>
  </w:style>
  <w:style w:type="numbering" w:customStyle="1" w:styleId="Style2">
    <w:name w:val="Style2"/>
    <w:uiPriority w:val="99"/>
    <w:rsid w:val="00B74542"/>
    <w:pPr>
      <w:numPr>
        <w:numId w:val="4"/>
      </w:numPr>
    </w:pPr>
  </w:style>
  <w:style w:type="table" w:styleId="TableGrid">
    <w:name w:val="Table Grid"/>
    <w:basedOn w:val="TableNormal"/>
    <w:uiPriority w:val="39"/>
    <w:rsid w:val="004D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8B6"/>
    <w:rPr>
      <w:color w:val="0563C1" w:themeColor="hyperlink"/>
      <w:u w:val="single"/>
    </w:rPr>
  </w:style>
  <w:style w:type="numbering" w:customStyle="1" w:styleId="Style3">
    <w:name w:val="Style3"/>
    <w:uiPriority w:val="99"/>
    <w:rsid w:val="00EC38B6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01F3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109D"/>
    <w:pPr>
      <w:spacing w:line="256" w:lineRule="auto"/>
    </w:pPr>
  </w:style>
  <w:style w:type="paragraph" w:styleId="Header">
    <w:name w:val="header"/>
    <w:basedOn w:val="Normal"/>
    <w:link w:val="HeaderChar"/>
    <w:uiPriority w:val="99"/>
    <w:unhideWhenUsed/>
    <w:rsid w:val="00DF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A77"/>
  </w:style>
  <w:style w:type="paragraph" w:styleId="Footer">
    <w:name w:val="footer"/>
    <w:basedOn w:val="Normal"/>
    <w:link w:val="FooterChar"/>
    <w:uiPriority w:val="99"/>
    <w:unhideWhenUsed/>
    <w:rsid w:val="00DF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A77"/>
  </w:style>
  <w:style w:type="numbering" w:customStyle="1" w:styleId="Style11">
    <w:name w:val="Style11"/>
    <w:uiPriority w:val="99"/>
    <w:rsid w:val="00AE4B4C"/>
    <w:pPr>
      <w:numPr>
        <w:numId w:val="4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E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10F2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10F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10F2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D776E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03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18C5-E6BA-4FA3-BACB-BF4848B1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tsuraya ulfah</cp:lastModifiedBy>
  <cp:revision>16</cp:revision>
  <cp:lastPrinted>2024-10-14T13:36:00Z</cp:lastPrinted>
  <dcterms:created xsi:type="dcterms:W3CDTF">2024-10-09T17:07:00Z</dcterms:created>
  <dcterms:modified xsi:type="dcterms:W3CDTF">2024-11-04T02:48:00Z</dcterms:modified>
</cp:coreProperties>
</file>