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7E46" w14:textId="77777777" w:rsidR="00A27E97" w:rsidRPr="00A27E97" w:rsidRDefault="00A27E97" w:rsidP="00A27E97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left="1560"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E97">
        <w:rPr>
          <w:rFonts w:ascii="Times New Roman" w:eastAsia="Calibri" w:hAnsi="Times New Roman" w:cs="Times New Roman"/>
          <w:b/>
          <w:bCs/>
          <w:sz w:val="24"/>
          <w:szCs w:val="24"/>
        </w:rPr>
        <w:t>DAFTAR PUSTAKA</w:t>
      </w:r>
    </w:p>
    <w:p w14:paraId="31F310C2" w14:textId="77777777" w:rsidR="00A27E97" w:rsidRPr="00A27E97" w:rsidRDefault="00A27E97" w:rsidP="00A27E97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360" w:lineRule="auto"/>
        <w:ind w:left="1560"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D6A756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i/>
          <w:sz w:val="24"/>
          <w:szCs w:val="24"/>
          <w:lang w:val="id-ID"/>
        </w:rPr>
        <w:t>Direktorat Jenderal Pajak Kementrian Keuangan. (2020).</w:t>
      </w:r>
      <w:r w:rsidRPr="00A27E97">
        <w:rPr>
          <w:rFonts w:ascii="Times New Roman" w:eastAsia="Calibri" w:hAnsi="Times New Roman" w:cs="Times New Roman"/>
          <w:sz w:val="24"/>
          <w:szCs w:val="24"/>
        </w:rPr>
        <w:fldChar w:fldCharType="begin" w:fldLock="1"/>
      </w:r>
      <w:r w:rsidRPr="00A27E97">
        <w:rPr>
          <w:rFonts w:ascii="Times New Roman" w:eastAsia="Calibri" w:hAnsi="Times New Roman" w:cs="Times New Roman"/>
          <w:sz w:val="24"/>
          <w:szCs w:val="24"/>
        </w:rPr>
        <w:instrText xml:space="preserve">ADDIN Mendeley Bibliography CSL_BIBLIOGRAPHY </w:instrText>
      </w:r>
      <w:r w:rsidRPr="00A27E9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Djp-Bongkar-Motif-2000-Perusahaan-Yang-Kemplang-Pajak.” n.d.</w:t>
      </w:r>
    </w:p>
    <w:p w14:paraId="49DE654F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Undang-Undang No. 6 Tahun 1983 Tentang Ketentuan Umum Dan Tata Cara Perpajakan.” </w:t>
      </w:r>
      <w:r w:rsidRPr="00A27E9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Kemenkeu.Go.Id</w:t>
      </w:r>
      <w:r w:rsidRPr="00A27E97">
        <w:rPr>
          <w:rFonts w:ascii="Times New Roman" w:eastAsia="Calibri" w:hAnsi="Times New Roman" w:cs="Times New Roman"/>
          <w:i/>
          <w:noProof/>
          <w:sz w:val="24"/>
          <w:szCs w:val="24"/>
        </w:rPr>
        <w:t>, no. 1: 51.</w:t>
      </w:r>
    </w:p>
    <w:p w14:paraId="73E16415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A27E97">
        <w:rPr>
          <w:rFonts w:ascii="Times New Roman" w:eastAsia="Calibri" w:hAnsi="Times New Roman" w:cs="Times New Roman"/>
          <w:i/>
          <w:noProof/>
          <w:sz w:val="24"/>
          <w:szCs w:val="24"/>
          <w:lang w:val="id-ID"/>
        </w:rPr>
        <w:t>Badan Pusat Statistik (2020, 10 Januari).</w:t>
      </w: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 Realisasi pendapatan negara (dalam miliaran rupiah). Tersedia: </w:t>
      </w:r>
      <w:hyperlink r:id="rId8" w:history="1">
        <w:r w:rsidRPr="00A27E97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id-ID"/>
          </w:rPr>
          <w:t>https://www.bps.go.id/id/statistics-table/1/MTgwMiMx/realisasi-pendapatan-negara-miliar-rupiah-2018-2022.html</w:t>
        </w:r>
      </w:hyperlink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</w:t>
      </w:r>
    </w:p>
    <w:p w14:paraId="28C97869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Heru Harmadi Sudibyo, “Pengaruh Profitabilitas, Leverage, Dan Pertumbuhan Penjualan Terhadap Penghindaran Pajak,” </w:t>
      </w:r>
      <w:r w:rsidRPr="00A27E9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J. Akunt. dan Manaj. Bisnis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, vol. 2, no. 1, pp. 78–85, 2022, doi: 10.56127/jaman.v2i1.211.</w:t>
      </w:r>
    </w:p>
    <w:p w14:paraId="541D1482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I. Agustina, I. Eprianto, and R. Pramukty, “Pengaruh Leverage Dan Ukuran Perusahaan Terhadap Tax Avoidance Pada Perusahaan Property Dan Real Estate Yang Terdaftar Di Bursa Efek Indonesia (Bei) Periode Tahun 2017 - 2021,” </w:t>
      </w:r>
      <w:r w:rsidRPr="00A27E9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J. Econ.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, vol. 2, no. 2, pp. 464–475, 2023, doi: 10.55681/economina.v2i2.322.</w:t>
      </w:r>
    </w:p>
    <w:p w14:paraId="7AA89A30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CNBC Indonesia. (2020, 8 Januari). Hmm.. Sudah 11 Tahun, RI Tak Mampu Capai Target Pajak. Diakses pada 26 </w:t>
      </w: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Oktober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 2023, diakses </w:t>
      </w: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: https://www.cnbcindonesia.com/news/20200108133413-4-128546/hmm-sudah-11-tahun-ri-tak-mampu-capai-target-pajak.</w:t>
      </w:r>
    </w:p>
    <w:p w14:paraId="313010E9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N. R. Khairunnisa, A. Y. Simbolon, and I. Eprianto, “Pengaruh Leverage, Profitabilitas, Good Governance Terhadap Penghindaran Pajak (Tax Avoidance),” </w:t>
      </w:r>
      <w:r w:rsidRPr="00A27E9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J. Econ.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, vol. 2, no. 8, pp. 2164–2177, 2023, doi: 10.55681/economina.v2i8.726.</w:t>
      </w:r>
    </w:p>
    <w:p w14:paraId="1C057CA9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D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etik finance, “Mengenal Soal Penghindaran Pajak Yang Dituduhkan Ke Adaro,” </w:t>
      </w:r>
      <w:r w:rsidRPr="00A27E9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Finance.Detik.Com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. 2019. [Online]. Available: 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https://finance.detik.com/berita-ekonomi-bisnis/d-4612708/mengenal-soal-penghindaran-pajak-yang-dituduhkan-ke-adaro</w:t>
      </w: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</w:t>
      </w:r>
    </w:p>
    <w:p w14:paraId="198C13D9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A. Marantika, </w:t>
      </w:r>
      <w:r w:rsidRPr="00A27E9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Analisis Penilaian Perusahaan (Teori, Faktor, dan Moderasi)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, vol. 1. 2012.</w:t>
      </w:r>
    </w:p>
    <w:p w14:paraId="2DE22501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Jensen, M. C., &amp; Meckling, W. H. (1976). Theory of the firm: Managerial behavior, agency costs and ownership structure. Journal of Financial Economics, 3(4), 305– 360.</w:t>
      </w:r>
    </w:p>
    <w:p w14:paraId="57B2618B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Fatmala, Kurniah Dwi, and Ikhsan Budi Riharjo. 2021. “Pengaruh Free Cash Flow , Profitabilitas Dan Leverage Terhadap Manajemen Laba.” </w:t>
      </w:r>
      <w:r w:rsidRPr="00A27E9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 Ilmu Dan Riset Akuntansi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 10 (2): 1–23.</w:t>
      </w:r>
    </w:p>
    <w:p w14:paraId="7154E497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Tandelilin, Eduardus. 2010. Portofolio dan investasi teori dan aplikasi. Edisi ke-1. Yogyakarta:kanisius.</w:t>
      </w:r>
    </w:p>
    <w:p w14:paraId="60D25F8D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Kasmir. 2014. Analisis Laporan Keuangan. Jakarta:Rajawali Pers</w:t>
      </w: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</w:t>
      </w:r>
    </w:p>
    <w:p w14:paraId="01A8973E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E97">
        <w:rPr>
          <w:rFonts w:ascii="Times New Roman" w:eastAsia="Calibri" w:hAnsi="Times New Roman" w:cs="Times New Roman"/>
          <w:sz w:val="24"/>
          <w:szCs w:val="24"/>
        </w:rPr>
        <w:t>Arianti, Baiq Fitri. 2022. “Pengaruh Struktur Modal, Pertumbuhan Penjualan Dan Keputusan Investasi Terhadap Nilai Perusahaan.” Gorontalo Accounting Journal 5(1): 1.</w:t>
      </w:r>
    </w:p>
    <w:p w14:paraId="3BBED208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B. F. Fista and D. Widyawati, “Pengaruh Kebijakan Dividen, Pertumbuhan Penjualan, Profitabilitas Dan Ukuran Perusahaan Terhadap Nilai Perusahaan,” </w:t>
      </w:r>
      <w:r w:rsidRPr="00A27E9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J. Ilmu dan Ris. Akunt. 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, vol. 6, no. 5, pp. 2051–2070, 2017.</w:t>
      </w:r>
    </w:p>
    <w:p w14:paraId="228C52B4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Resmi, Siti. 2019. Perpajakan: Teori &amp; Kasus. Edisi Sebelas. Buku Satu. Salemba Empat. Jakarta.</w:t>
      </w:r>
    </w:p>
    <w:p w14:paraId="7C4D8181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A. D. Maraya and R. Yendrawati, “Pengaruh corporate governance dan corporate social responsibility disclosure terhadap tax avoidance: studi empiris pada perusahaan tambang dan CPO,” </w:t>
      </w:r>
      <w:r w:rsidRPr="00A27E9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J. Akunt. Audit. Indones.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, vol. 20, no. 2, pp. 147–159, 2016, doi: 10.20885/jaai.vol20.iss2.art7.</w:t>
      </w:r>
    </w:p>
    <w:p w14:paraId="446E21F5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Prasetyono, Dwi Sunar. Buku Pintar ASI Ekslusif. Pengenalan Praktek Dan</w:t>
      </w: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 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Kemanfaatannya. Yogyakarta:Penerbit Diva Press;2009.2</w:t>
      </w:r>
    </w:p>
    <w:p w14:paraId="501983A7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P. K. Perpajakan, S. Perpajakan, D. Perpajakan, K. W. Pajak, and R. V. Suryaputri, “Pengaruh keadilan perpajakan, sistem perpajakan, diskriminasi perpajakan, kepatuhan wajib pajak terhadap penggelapan pajak,” vol. 0832, pp. 109–122, 2018.</w:t>
      </w:r>
    </w:p>
    <w:p w14:paraId="7DDC7ABA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I. Dewinta and P. Setiawan, “Pengaruh Ukuran Perusahaan, Umur Perusahaan, Profitabilitas, Leverage, Dan Pertumbuhan Penjualan Terhadap Tax Avoidance,” </w:t>
      </w:r>
      <w:r w:rsidRPr="00A27E9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E-Jurnal Akunt. Univ. Udayana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, vol. 14, no. 3, pp. 1584–1615, 2016.</w:t>
      </w:r>
    </w:p>
    <w:p w14:paraId="0E5D2257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L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anis, R. and G. Richardson. (2013). Corporate Social Responsibility and Tax Aggressiveness: a test of legitimacy theory. Accounting Auditing and Accountability Journal, Vol. 26 No 1, pp.75 ± 100.</w:t>
      </w:r>
    </w:p>
    <w:p w14:paraId="25FB2552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N. L. P. P. Dewi and N. Noviari, “Pengaruh Ukuran Perusahaan, Leverage, Profitabilitas dan Corporate Social Responsibility Terhadap Penghindaran Pajak (Tax Avoidance),” </w:t>
      </w:r>
      <w:r w:rsidRPr="00A27E9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E-Jurnal Akunt.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, vol. 21, no. 2, pp. 882–911, 2017, doi: 10.24843/EJA.2017.v21.i02.p01.</w:t>
      </w:r>
    </w:p>
    <w:p w14:paraId="2ED379BB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W. Wahyu. H, "Pengaruh Profitabilitas, Leverage Dan Pertumbuhan Penjualan Terhadap Penghindaran Pajak: Studi Kasus Perusahaan Manufaktur Di Indonesia." Jurnal Riset Manajemen dan Bisnis. ,</w:t>
      </w:r>
      <w:r w:rsidRPr="00A27E97">
        <w:rPr>
          <w:rFonts w:ascii="Times New Roman" w:eastAsia="Calibri" w:hAnsi="Times New Roman" w:cs="Times New Roman"/>
          <w:sz w:val="24"/>
          <w:szCs w:val="24"/>
        </w:rPr>
        <w:t xml:space="preserve"> Vol.3, No.1,Februari2018: 19 - 26</w:t>
      </w:r>
      <w:r w:rsidRPr="00A27E9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</w:t>
      </w:r>
      <w:r w:rsidRPr="00A27E97">
        <w:rPr>
          <w:rFonts w:ascii="Times New Roman" w:eastAsia="Calibri" w:hAnsi="Times New Roman" w:cs="Times New Roman"/>
          <w:sz w:val="24"/>
          <w:szCs w:val="24"/>
        </w:rPr>
        <w:t>P-ISSN 2527–7502 E-ISSN 2581-2165</w:t>
      </w:r>
      <w:r w:rsidRPr="00A27E97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</w:p>
    <w:p w14:paraId="01F1C498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S. T. Anggoro and A. Septiani, “ANALISIS PENGARUH PERILAKU PENGHINDARAN PAJAK TERHADAP NILAI PERUSAHAAN DENGAN TRANSPARANSI SEBAGAI VARIABEL MODERATING,” </w:t>
      </w:r>
      <w:r w:rsidRPr="00A27E9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DIPONEGORO J. Account.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, vol. 4, no. 1, 2015, [Online]. Available: http://ejournal-s1.undip.ac.id/index.php/accounting</w:t>
      </w: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</w:t>
      </w:r>
    </w:p>
    <w:p w14:paraId="330F9D89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Ida Ayu. R dan Putu Ery S (2016).”Pengaruh ukuran perusahaan, umur perusahaan,Profitabilitas,Leverage, dan pertumbuhan pnjualan terhadap Tax,” E-Jurnal Akuntansi Universitas Udayana Vol.14.3. Maret (2016): 1584-161 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ISSN: 2302-85563</w:t>
      </w: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.</w:t>
      </w:r>
    </w:p>
    <w:p w14:paraId="791B71F3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Wijayanti, Yoanis Carrica &amp; Merkusiwati, Ni Ketut Lely A. (2017). Pengaruh Kepemilikan Institusional, Leverage, dan Ukuran Perusahaan pada Penghindaran Pajak. Vol 20, No 1, ISSN 2302-8556.</w:t>
      </w:r>
    </w:p>
    <w:p w14:paraId="2CEF7EAD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J. Christy and Subagyo, “Pengaruh Firm Size, Sales Growth, dan ROA Terhadap Penghindaran Pajak Dengan Komite Audit Sebagai Variabel Moderasi,” </w:t>
      </w:r>
      <w:r w:rsidRPr="00A27E9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J. Akunt.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, vol. 19, no. 2, pp. 139–150, 2019, [Online]. Available: http://ejournal.ukrida.ac.id/ojs/index.php/Akun/article/view/1805</w:t>
      </w:r>
    </w:p>
    <w:p w14:paraId="7ADB6F03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Sarwono, jonathan 2018. Metode Penelitian Kuantitatif Dan Kualitatif. Ed ke-2 Yogyakarta: suluh media, 2018.</w:t>
      </w:r>
    </w:p>
    <w:p w14:paraId="4F3EC0D2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Sugiyono, 2022. Metode Penelitian Kuantitatif, Kualitatif, Dan RND. Ed ke-2 Bandung: Alfabeta, 2022.</w:t>
      </w:r>
    </w:p>
    <w:p w14:paraId="35782682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Santosa, S. (2020). </w:t>
      </w:r>
      <w:r w:rsidRPr="00A27E97">
        <w:rPr>
          <w:rFonts w:ascii="Times New Roman" w:eastAsia="Calibri" w:hAnsi="Times New Roman" w:cs="Times New Roman"/>
          <w:i/>
          <w:noProof/>
          <w:sz w:val="24"/>
          <w:szCs w:val="24"/>
        </w:rPr>
        <w:t>Panduan Lengkap SPSS 26 (edisi 2021)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>. Elex Media Komputindo Kelompok Gramedia.</w:t>
      </w:r>
    </w:p>
    <w:p w14:paraId="5D6A2A7B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Algifari, Pengolahan Data Panel Untuk Penelitian Bisnis Dan Ekonomi Dengan Eviews 11. Ed Ke-2 UPP STIM YKPN,Yogyakarta, 2021.</w:t>
      </w:r>
    </w:p>
    <w:p w14:paraId="4CECA80B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27E97">
        <w:rPr>
          <w:rFonts w:ascii="Times New Roman" w:eastAsia="Calibri" w:hAnsi="Times New Roman" w:cs="Times New Roman"/>
          <w:i/>
          <w:noProof/>
          <w:sz w:val="24"/>
          <w:szCs w:val="24"/>
        </w:rPr>
        <w:t>Peraturan Menteri Keuangan Republik Indonesia Nomor 169/PMK.010/2015</w:t>
      </w:r>
      <w:r w:rsidRPr="00A27E97">
        <w:rPr>
          <w:rFonts w:ascii="Times New Roman" w:eastAsia="Calibri" w:hAnsi="Times New Roman" w:cs="Times New Roman"/>
          <w:noProof/>
          <w:sz w:val="24"/>
          <w:szCs w:val="24"/>
        </w:rPr>
        <w:t xml:space="preserve"> Penentuan Besarnya Perbandingan Antara Utang dan Modal Perusahaan untuk Keperluan Penghitungan Pajak Penghasilan. 9 September 2015. Berita Negara Republik Indonesia Tahun 2015 Nomor 1351. Jakarta.</w:t>
      </w:r>
    </w:p>
    <w:p w14:paraId="2DF79566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  <w:r w:rsidRPr="00A27E97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>Institut Teknologi Dan Bisnis Ahmad Dahlan. 2023 Pedoman Penulisan Skripsi.</w:t>
      </w:r>
    </w:p>
    <w:p w14:paraId="0E2B3702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id-ID"/>
        </w:rPr>
      </w:pPr>
    </w:p>
    <w:p w14:paraId="2AEA101C" w14:textId="77777777" w:rsidR="00A27E97" w:rsidRPr="00A27E97" w:rsidRDefault="00A27E97" w:rsidP="00A27E97">
      <w:pPr>
        <w:widowControl w:val="0"/>
        <w:autoSpaceDE w:val="0"/>
        <w:autoSpaceDN w:val="0"/>
        <w:adjustRightInd w:val="0"/>
        <w:spacing w:after="16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078C77A" w14:textId="77777777" w:rsidR="00B97D61" w:rsidRPr="00A27E97" w:rsidRDefault="00A27E97" w:rsidP="00A27E97">
      <w:r w:rsidRPr="00A27E97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sectPr w:rsidR="00B97D61" w:rsidRPr="00A27E97" w:rsidSect="00761D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4053" w14:textId="77777777" w:rsidR="00761D92" w:rsidRDefault="00761D92" w:rsidP="007910B6">
      <w:pPr>
        <w:spacing w:after="0" w:line="240" w:lineRule="auto"/>
      </w:pPr>
      <w:r>
        <w:separator/>
      </w:r>
    </w:p>
  </w:endnote>
  <w:endnote w:type="continuationSeparator" w:id="0">
    <w:p w14:paraId="04AA9C7D" w14:textId="77777777" w:rsidR="00761D92" w:rsidRDefault="00761D92" w:rsidP="007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A3B5" w14:textId="77777777" w:rsidR="007910B6" w:rsidRDefault="00791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B91E" w14:textId="77777777" w:rsidR="007910B6" w:rsidRDefault="007910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7463" w14:textId="77777777" w:rsidR="007910B6" w:rsidRDefault="00791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E3D0" w14:textId="77777777" w:rsidR="00761D92" w:rsidRDefault="00761D92" w:rsidP="007910B6">
      <w:pPr>
        <w:spacing w:after="0" w:line="240" w:lineRule="auto"/>
      </w:pPr>
      <w:r>
        <w:separator/>
      </w:r>
    </w:p>
  </w:footnote>
  <w:footnote w:type="continuationSeparator" w:id="0">
    <w:p w14:paraId="24D1B6BC" w14:textId="77777777" w:rsidR="00761D92" w:rsidRDefault="00761D92" w:rsidP="007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E2E8" w14:textId="6DEEED6C" w:rsidR="007910B6" w:rsidRDefault="007910B6">
    <w:pPr>
      <w:pStyle w:val="Header"/>
    </w:pPr>
    <w:r>
      <w:rPr>
        <w:noProof/>
      </w:rPr>
      <w:pict w14:anchorId="02172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809688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AA26" w14:textId="4DF2F418" w:rsidR="007910B6" w:rsidRDefault="007910B6">
    <w:pPr>
      <w:pStyle w:val="Header"/>
    </w:pPr>
    <w:r>
      <w:rPr>
        <w:noProof/>
      </w:rPr>
      <w:pict w14:anchorId="7C8B2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809689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274E" w14:textId="355A866B" w:rsidR="007910B6" w:rsidRDefault="007910B6">
    <w:pPr>
      <w:pStyle w:val="Header"/>
    </w:pPr>
    <w:r>
      <w:rPr>
        <w:noProof/>
      </w:rPr>
      <w:pict w14:anchorId="6CE37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809687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5E3"/>
    <w:multiLevelType w:val="hybridMultilevel"/>
    <w:tmpl w:val="2684E0E2"/>
    <w:lvl w:ilvl="0" w:tplc="CCBAA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34223A"/>
    <w:multiLevelType w:val="hybridMultilevel"/>
    <w:tmpl w:val="A8CE883A"/>
    <w:lvl w:ilvl="0" w:tplc="86FE294C">
      <w:start w:val="1"/>
      <w:numFmt w:val="lowerLetter"/>
      <w:lvlText w:val="%1.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EA6FC7"/>
    <w:multiLevelType w:val="hybridMultilevel"/>
    <w:tmpl w:val="E91C88D0"/>
    <w:lvl w:ilvl="0" w:tplc="0DA4C1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8E13473"/>
    <w:multiLevelType w:val="hybridMultilevel"/>
    <w:tmpl w:val="0A468C82"/>
    <w:lvl w:ilvl="0" w:tplc="581EE17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9031A32"/>
    <w:multiLevelType w:val="hybridMultilevel"/>
    <w:tmpl w:val="4FD87D34"/>
    <w:lvl w:ilvl="0" w:tplc="C3D0BFA2">
      <w:start w:val="1"/>
      <w:numFmt w:val="lowerLetter"/>
      <w:lvlText w:val="%1.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4EC4D89"/>
    <w:multiLevelType w:val="multilevel"/>
    <w:tmpl w:val="9AA886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5D073B4"/>
    <w:multiLevelType w:val="hybridMultilevel"/>
    <w:tmpl w:val="652A8BCA"/>
    <w:lvl w:ilvl="0" w:tplc="EB3038B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4C0109DA"/>
    <w:multiLevelType w:val="multilevel"/>
    <w:tmpl w:val="62F278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5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8" w15:restartNumberingAfterBreak="0">
    <w:nsid w:val="5180739D"/>
    <w:multiLevelType w:val="hybridMultilevel"/>
    <w:tmpl w:val="A9BC410A"/>
    <w:lvl w:ilvl="0" w:tplc="79342F8E">
      <w:start w:val="1"/>
      <w:numFmt w:val="decimal"/>
      <w:lvlText w:val="4.2.%1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8534F"/>
    <w:multiLevelType w:val="multilevel"/>
    <w:tmpl w:val="8FF8C5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8976234"/>
    <w:multiLevelType w:val="hybridMultilevel"/>
    <w:tmpl w:val="6D828EEA"/>
    <w:lvl w:ilvl="0" w:tplc="2CEA82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4AA282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92E5217"/>
    <w:multiLevelType w:val="hybridMultilevel"/>
    <w:tmpl w:val="1402D150"/>
    <w:lvl w:ilvl="0" w:tplc="1BC844DA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C5444"/>
    <w:multiLevelType w:val="hybridMultilevel"/>
    <w:tmpl w:val="D64E21F8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1282961186">
    <w:abstractNumId w:val="13"/>
  </w:num>
  <w:num w:numId="2" w16cid:durableId="1967084335">
    <w:abstractNumId w:val="12"/>
  </w:num>
  <w:num w:numId="3" w16cid:durableId="820006751">
    <w:abstractNumId w:val="8"/>
  </w:num>
  <w:num w:numId="4" w16cid:durableId="678123647">
    <w:abstractNumId w:val="5"/>
  </w:num>
  <w:num w:numId="5" w16cid:durableId="2036423778">
    <w:abstractNumId w:val="4"/>
  </w:num>
  <w:num w:numId="6" w16cid:durableId="2044790698">
    <w:abstractNumId w:val="6"/>
  </w:num>
  <w:num w:numId="7" w16cid:durableId="1090003960">
    <w:abstractNumId w:val="7"/>
  </w:num>
  <w:num w:numId="8" w16cid:durableId="504324030">
    <w:abstractNumId w:val="3"/>
  </w:num>
  <w:num w:numId="9" w16cid:durableId="1644847685">
    <w:abstractNumId w:val="1"/>
  </w:num>
  <w:num w:numId="10" w16cid:durableId="242030354">
    <w:abstractNumId w:val="11"/>
  </w:num>
  <w:num w:numId="11" w16cid:durableId="1154183912">
    <w:abstractNumId w:val="10"/>
  </w:num>
  <w:num w:numId="12" w16cid:durableId="1535384247">
    <w:abstractNumId w:val="9"/>
  </w:num>
  <w:num w:numId="13" w16cid:durableId="1371033609">
    <w:abstractNumId w:val="2"/>
  </w:num>
  <w:num w:numId="14" w16cid:durableId="205942624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EB"/>
    <w:rsid w:val="000126DF"/>
    <w:rsid w:val="00020B02"/>
    <w:rsid w:val="00025FA6"/>
    <w:rsid w:val="00031C77"/>
    <w:rsid w:val="00045F55"/>
    <w:rsid w:val="000745A7"/>
    <w:rsid w:val="00076A19"/>
    <w:rsid w:val="0008249B"/>
    <w:rsid w:val="00091D51"/>
    <w:rsid w:val="000A4B16"/>
    <w:rsid w:val="000A6159"/>
    <w:rsid w:val="000B4021"/>
    <w:rsid w:val="000C3808"/>
    <w:rsid w:val="000C3D62"/>
    <w:rsid w:val="000C6269"/>
    <w:rsid w:val="000E28DF"/>
    <w:rsid w:val="000F4170"/>
    <w:rsid w:val="000F4BF5"/>
    <w:rsid w:val="00112720"/>
    <w:rsid w:val="0011626B"/>
    <w:rsid w:val="001205FC"/>
    <w:rsid w:val="00124474"/>
    <w:rsid w:val="00125F04"/>
    <w:rsid w:val="00135071"/>
    <w:rsid w:val="00181D4C"/>
    <w:rsid w:val="0019655C"/>
    <w:rsid w:val="0019737B"/>
    <w:rsid w:val="001A2B20"/>
    <w:rsid w:val="001C3937"/>
    <w:rsid w:val="001C396D"/>
    <w:rsid w:val="001C7C15"/>
    <w:rsid w:val="001E3388"/>
    <w:rsid w:val="001F1B8C"/>
    <w:rsid w:val="001F3FA8"/>
    <w:rsid w:val="00202615"/>
    <w:rsid w:val="00215D1C"/>
    <w:rsid w:val="00221AD5"/>
    <w:rsid w:val="002251DD"/>
    <w:rsid w:val="0023568F"/>
    <w:rsid w:val="00245A05"/>
    <w:rsid w:val="00250CD7"/>
    <w:rsid w:val="0025287A"/>
    <w:rsid w:val="002734C5"/>
    <w:rsid w:val="00287B20"/>
    <w:rsid w:val="00291C97"/>
    <w:rsid w:val="002B25EE"/>
    <w:rsid w:val="002C087A"/>
    <w:rsid w:val="002C33E5"/>
    <w:rsid w:val="002D144F"/>
    <w:rsid w:val="002F6E77"/>
    <w:rsid w:val="00317FF9"/>
    <w:rsid w:val="003374C3"/>
    <w:rsid w:val="00340C69"/>
    <w:rsid w:val="003511AC"/>
    <w:rsid w:val="00391D5D"/>
    <w:rsid w:val="003A2384"/>
    <w:rsid w:val="003B06E1"/>
    <w:rsid w:val="003C1A0B"/>
    <w:rsid w:val="003C321D"/>
    <w:rsid w:val="003C582B"/>
    <w:rsid w:val="003E2A38"/>
    <w:rsid w:val="00400EE0"/>
    <w:rsid w:val="0044430B"/>
    <w:rsid w:val="00454A27"/>
    <w:rsid w:val="00461CD1"/>
    <w:rsid w:val="00464B2B"/>
    <w:rsid w:val="00471C1B"/>
    <w:rsid w:val="00484E84"/>
    <w:rsid w:val="004B6BFC"/>
    <w:rsid w:val="004C3635"/>
    <w:rsid w:val="004E5463"/>
    <w:rsid w:val="004E69C8"/>
    <w:rsid w:val="004F5263"/>
    <w:rsid w:val="00503610"/>
    <w:rsid w:val="00505D18"/>
    <w:rsid w:val="0053408E"/>
    <w:rsid w:val="00550E64"/>
    <w:rsid w:val="00554CD9"/>
    <w:rsid w:val="005736E3"/>
    <w:rsid w:val="00575086"/>
    <w:rsid w:val="005955F5"/>
    <w:rsid w:val="005A5E06"/>
    <w:rsid w:val="005B5B2F"/>
    <w:rsid w:val="005E1090"/>
    <w:rsid w:val="005E1705"/>
    <w:rsid w:val="005E3854"/>
    <w:rsid w:val="005F5F63"/>
    <w:rsid w:val="00612805"/>
    <w:rsid w:val="00633731"/>
    <w:rsid w:val="00661830"/>
    <w:rsid w:val="00672407"/>
    <w:rsid w:val="00690387"/>
    <w:rsid w:val="006A3263"/>
    <w:rsid w:val="006D3876"/>
    <w:rsid w:val="006D59BA"/>
    <w:rsid w:val="00742744"/>
    <w:rsid w:val="00742FF1"/>
    <w:rsid w:val="00744A7F"/>
    <w:rsid w:val="007544CA"/>
    <w:rsid w:val="007553CC"/>
    <w:rsid w:val="00761D92"/>
    <w:rsid w:val="007910B6"/>
    <w:rsid w:val="007944D8"/>
    <w:rsid w:val="007A4BFA"/>
    <w:rsid w:val="007A7EBA"/>
    <w:rsid w:val="007B36A5"/>
    <w:rsid w:val="007B7A7D"/>
    <w:rsid w:val="007C781E"/>
    <w:rsid w:val="007E590E"/>
    <w:rsid w:val="007E7874"/>
    <w:rsid w:val="0080410A"/>
    <w:rsid w:val="0080619C"/>
    <w:rsid w:val="00824EE7"/>
    <w:rsid w:val="00826D0D"/>
    <w:rsid w:val="00844E59"/>
    <w:rsid w:val="00852045"/>
    <w:rsid w:val="00855BC9"/>
    <w:rsid w:val="00873A43"/>
    <w:rsid w:val="00877C42"/>
    <w:rsid w:val="00885E77"/>
    <w:rsid w:val="00886994"/>
    <w:rsid w:val="008B274C"/>
    <w:rsid w:val="008B6FAD"/>
    <w:rsid w:val="008C3B95"/>
    <w:rsid w:val="008E227A"/>
    <w:rsid w:val="008E52D3"/>
    <w:rsid w:val="008F43B3"/>
    <w:rsid w:val="008F5BCF"/>
    <w:rsid w:val="00900772"/>
    <w:rsid w:val="00901B45"/>
    <w:rsid w:val="0090463C"/>
    <w:rsid w:val="009079C4"/>
    <w:rsid w:val="009156CF"/>
    <w:rsid w:val="009226CA"/>
    <w:rsid w:val="00923BD7"/>
    <w:rsid w:val="00961BAC"/>
    <w:rsid w:val="00967C77"/>
    <w:rsid w:val="00973AAB"/>
    <w:rsid w:val="0097624D"/>
    <w:rsid w:val="00980410"/>
    <w:rsid w:val="00992424"/>
    <w:rsid w:val="00992848"/>
    <w:rsid w:val="009A229C"/>
    <w:rsid w:val="009B1DA9"/>
    <w:rsid w:val="009E719F"/>
    <w:rsid w:val="009F0267"/>
    <w:rsid w:val="009F0542"/>
    <w:rsid w:val="00A0178E"/>
    <w:rsid w:val="00A27E97"/>
    <w:rsid w:val="00A33C05"/>
    <w:rsid w:val="00A35EDC"/>
    <w:rsid w:val="00A4565C"/>
    <w:rsid w:val="00A4665B"/>
    <w:rsid w:val="00A5021E"/>
    <w:rsid w:val="00A52FA9"/>
    <w:rsid w:val="00A55B90"/>
    <w:rsid w:val="00A5739B"/>
    <w:rsid w:val="00A574C6"/>
    <w:rsid w:val="00A7038E"/>
    <w:rsid w:val="00A96D6F"/>
    <w:rsid w:val="00A96D9B"/>
    <w:rsid w:val="00AA7BB0"/>
    <w:rsid w:val="00AB6041"/>
    <w:rsid w:val="00AD1908"/>
    <w:rsid w:val="00AD2289"/>
    <w:rsid w:val="00AD4B26"/>
    <w:rsid w:val="00AE0B7A"/>
    <w:rsid w:val="00AF69DF"/>
    <w:rsid w:val="00AF6EE4"/>
    <w:rsid w:val="00B033A7"/>
    <w:rsid w:val="00B04654"/>
    <w:rsid w:val="00B12347"/>
    <w:rsid w:val="00B15689"/>
    <w:rsid w:val="00B16432"/>
    <w:rsid w:val="00B33861"/>
    <w:rsid w:val="00B42EC9"/>
    <w:rsid w:val="00B44504"/>
    <w:rsid w:val="00B6226F"/>
    <w:rsid w:val="00B97D61"/>
    <w:rsid w:val="00BB32C0"/>
    <w:rsid w:val="00BC424C"/>
    <w:rsid w:val="00BE4E7F"/>
    <w:rsid w:val="00BF422F"/>
    <w:rsid w:val="00BF658C"/>
    <w:rsid w:val="00BF69CD"/>
    <w:rsid w:val="00C140EB"/>
    <w:rsid w:val="00C3576E"/>
    <w:rsid w:val="00C35DE8"/>
    <w:rsid w:val="00C42CC7"/>
    <w:rsid w:val="00C53528"/>
    <w:rsid w:val="00C555EB"/>
    <w:rsid w:val="00C602AF"/>
    <w:rsid w:val="00C62CF6"/>
    <w:rsid w:val="00C72BE8"/>
    <w:rsid w:val="00C83874"/>
    <w:rsid w:val="00C933A5"/>
    <w:rsid w:val="00CA297A"/>
    <w:rsid w:val="00CA3D02"/>
    <w:rsid w:val="00CA611C"/>
    <w:rsid w:val="00CB26DF"/>
    <w:rsid w:val="00CB50DE"/>
    <w:rsid w:val="00CC4046"/>
    <w:rsid w:val="00CE03BB"/>
    <w:rsid w:val="00CF20BE"/>
    <w:rsid w:val="00D000B3"/>
    <w:rsid w:val="00D03EE9"/>
    <w:rsid w:val="00D04E0E"/>
    <w:rsid w:val="00D11CBD"/>
    <w:rsid w:val="00D22461"/>
    <w:rsid w:val="00D23514"/>
    <w:rsid w:val="00D26321"/>
    <w:rsid w:val="00D27B64"/>
    <w:rsid w:val="00D33652"/>
    <w:rsid w:val="00D4489D"/>
    <w:rsid w:val="00D55B46"/>
    <w:rsid w:val="00DA39A9"/>
    <w:rsid w:val="00DA7C9F"/>
    <w:rsid w:val="00DB286C"/>
    <w:rsid w:val="00DC6E3F"/>
    <w:rsid w:val="00DD0F79"/>
    <w:rsid w:val="00DE43DB"/>
    <w:rsid w:val="00E066A5"/>
    <w:rsid w:val="00E32DB2"/>
    <w:rsid w:val="00E41FFA"/>
    <w:rsid w:val="00E5140E"/>
    <w:rsid w:val="00E5222E"/>
    <w:rsid w:val="00E71F37"/>
    <w:rsid w:val="00E766BE"/>
    <w:rsid w:val="00E85387"/>
    <w:rsid w:val="00E94141"/>
    <w:rsid w:val="00E96FCE"/>
    <w:rsid w:val="00EA1C59"/>
    <w:rsid w:val="00EC2248"/>
    <w:rsid w:val="00F24870"/>
    <w:rsid w:val="00F35AE7"/>
    <w:rsid w:val="00F36E15"/>
    <w:rsid w:val="00F43922"/>
    <w:rsid w:val="00F50257"/>
    <w:rsid w:val="00F53076"/>
    <w:rsid w:val="00F574FE"/>
    <w:rsid w:val="00F76FCC"/>
    <w:rsid w:val="00F85CBD"/>
    <w:rsid w:val="00F87B58"/>
    <w:rsid w:val="00F977F3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70819"/>
  <w15:chartTrackingRefBased/>
  <w15:docId w15:val="{A9EE89D0-9583-4937-8AB1-32CE6F25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5E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7D61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97D61"/>
    <w:pPr>
      <w:widowControl w:val="0"/>
      <w:numPr>
        <w:ilvl w:val="1"/>
        <w:numId w:val="10"/>
      </w:numPr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D6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D61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D61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D61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D61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D61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D61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pasi 2 taiiii Char,Heading 2 Char1 Char,Char Char Char,List Paragraph1 Char,List Paragraph11 Char,normal Char,skripsi Char,Body of text Char,Body Text Char1 Char,Char Char2 Char,List Paragraph2 Char"/>
    <w:link w:val="ListParagraph"/>
    <w:uiPriority w:val="34"/>
    <w:qFormat/>
    <w:locked/>
    <w:rsid w:val="00C555EB"/>
  </w:style>
  <w:style w:type="paragraph" w:styleId="ListParagraph">
    <w:name w:val="List Paragraph"/>
    <w:aliases w:val="spasi 2 taiiii,Heading 2 Char1,Char Char,List Paragraph1,List Paragraph11,normal,skripsi,Body of text,Body Text Char1,Char Char2,List Paragraph2"/>
    <w:basedOn w:val="Normal"/>
    <w:link w:val="ListParagraphChar"/>
    <w:uiPriority w:val="34"/>
    <w:qFormat/>
    <w:rsid w:val="00C555EB"/>
    <w:pPr>
      <w:ind w:left="720"/>
      <w:contextualSpacing/>
    </w:pPr>
  </w:style>
  <w:style w:type="table" w:styleId="TableGrid">
    <w:name w:val="Table Grid"/>
    <w:basedOn w:val="TableNormal"/>
    <w:uiPriority w:val="39"/>
    <w:rsid w:val="00F3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32D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32DB2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B97D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97D6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B97D6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D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D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D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D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D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D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61"/>
  </w:style>
  <w:style w:type="paragraph" w:styleId="Footer">
    <w:name w:val="footer"/>
    <w:basedOn w:val="Normal"/>
    <w:link w:val="FooterChar"/>
    <w:uiPriority w:val="99"/>
    <w:unhideWhenUsed/>
    <w:rsid w:val="00B9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61"/>
  </w:style>
  <w:style w:type="paragraph" w:customStyle="1" w:styleId="TableParagraph">
    <w:name w:val="Table Paragraph"/>
    <w:basedOn w:val="Normal"/>
    <w:uiPriority w:val="1"/>
    <w:qFormat/>
    <w:rsid w:val="00B97D6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B97D6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7D6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D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D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D61"/>
    <w:rPr>
      <w:vertAlign w:val="superscript"/>
    </w:rPr>
  </w:style>
  <w:style w:type="paragraph" w:styleId="NoSpacing">
    <w:name w:val="No Spacing"/>
    <w:uiPriority w:val="1"/>
    <w:qFormat/>
    <w:rsid w:val="00B97D6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B9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s.go.id/id/statistics-table/1/MTgwMiMx/realisasi-pendapatan-negara-miliar-rupiah-2018-2022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001AD8F-D90A-4FFE-BA8A-1F0A1A69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tsuraya ulfah</cp:lastModifiedBy>
  <cp:revision>3</cp:revision>
  <cp:lastPrinted>2024-01-27T12:29:00Z</cp:lastPrinted>
  <dcterms:created xsi:type="dcterms:W3CDTF">2024-03-04T04:55:00Z</dcterms:created>
  <dcterms:modified xsi:type="dcterms:W3CDTF">2024-03-26T07:52:00Z</dcterms:modified>
</cp:coreProperties>
</file>