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963A" w14:textId="77777777" w:rsidR="00191BD1" w:rsidRDefault="00191BD1" w:rsidP="00191BD1">
      <w:pPr>
        <w:pStyle w:val="Heading1"/>
        <w:spacing w:line="360" w:lineRule="auto"/>
        <w:jc w:val="center"/>
      </w:pPr>
      <w:bookmarkStart w:id="0" w:name="_Toc141131324"/>
      <w:bookmarkStart w:id="1" w:name="_Toc142340129"/>
      <w:bookmarkStart w:id="2" w:name="_Toc144405057"/>
      <w:r>
        <w:t>DAFTAR PUSTAKA</w:t>
      </w:r>
      <w:bookmarkEnd w:id="0"/>
      <w:bookmarkEnd w:id="1"/>
      <w:bookmarkEnd w:id="2"/>
    </w:p>
    <w:p w14:paraId="41AFF9B3" w14:textId="77777777" w:rsidR="00191BD1" w:rsidRPr="001543BD" w:rsidRDefault="00191BD1" w:rsidP="00191BD1">
      <w:pPr>
        <w:jc w:val="both"/>
      </w:pPr>
    </w:p>
    <w:p w14:paraId="170B1E93" w14:textId="77777777" w:rsidR="00191BD1" w:rsidRPr="00361B88" w:rsidRDefault="00191BD1" w:rsidP="00191BD1">
      <w:pPr>
        <w:widowControl w:val="0"/>
        <w:autoSpaceDE w:val="0"/>
        <w:autoSpaceDN w:val="0"/>
        <w:adjustRightInd w:val="0"/>
        <w:spacing w:line="240" w:lineRule="auto"/>
        <w:ind w:left="480" w:hanging="480"/>
        <w:jc w:val="both"/>
        <w:rPr>
          <w:rFonts w:cs="Times New Roman"/>
          <w:noProof/>
          <w:szCs w:val="24"/>
        </w:rPr>
      </w:pPr>
      <w:r>
        <w:rPr>
          <w:rFonts w:cs="Times New Roman"/>
          <w:szCs w:val="24"/>
        </w:rPr>
        <w:fldChar w:fldCharType="begin" w:fldLock="1"/>
      </w:r>
      <w:r>
        <w:rPr>
          <w:rFonts w:cs="Times New Roman"/>
          <w:szCs w:val="24"/>
        </w:rPr>
        <w:instrText xml:space="preserve">ADDIN Mendeley Bibliography CSL_BIBLIOGRAPHY </w:instrText>
      </w:r>
      <w:r>
        <w:rPr>
          <w:rFonts w:cs="Times New Roman"/>
          <w:szCs w:val="24"/>
        </w:rPr>
        <w:fldChar w:fldCharType="separate"/>
      </w:r>
      <w:r w:rsidRPr="00361B88">
        <w:rPr>
          <w:rFonts w:cs="Times New Roman"/>
          <w:noProof/>
          <w:szCs w:val="24"/>
        </w:rPr>
        <w:t xml:space="preserve">Abdul Gofur. 2019. “1. Pengaruh Kualitas Pelayanan Dan Harga Terhadap.” </w:t>
      </w:r>
      <w:r w:rsidRPr="00361B88">
        <w:rPr>
          <w:rFonts w:cs="Times New Roman"/>
          <w:i/>
          <w:iCs/>
          <w:noProof/>
          <w:szCs w:val="24"/>
        </w:rPr>
        <w:t>Jurnal Riset Manajemen Dan Bisnis (JRMB) Fakultas Ekonomi UNIAT</w:t>
      </w:r>
      <w:r w:rsidRPr="00361B88">
        <w:rPr>
          <w:rFonts w:cs="Times New Roman"/>
          <w:noProof/>
          <w:szCs w:val="24"/>
        </w:rPr>
        <w:t xml:space="preserve"> 4 (1): 37–44.</w:t>
      </w:r>
    </w:p>
    <w:p w14:paraId="20A09903" w14:textId="77777777" w:rsidR="00191BD1" w:rsidRPr="008417C8" w:rsidRDefault="00191BD1" w:rsidP="00191BD1">
      <w:pPr>
        <w:widowControl w:val="0"/>
        <w:autoSpaceDE w:val="0"/>
        <w:autoSpaceDN w:val="0"/>
        <w:adjustRightInd w:val="0"/>
        <w:spacing w:line="240" w:lineRule="auto"/>
        <w:ind w:left="480" w:hanging="480"/>
        <w:jc w:val="both"/>
        <w:rPr>
          <w:rFonts w:cs="Times New Roman"/>
          <w:noProof/>
          <w:szCs w:val="24"/>
          <w:lang w:val="fi-FI"/>
        </w:rPr>
      </w:pPr>
      <w:r w:rsidRPr="00361B88">
        <w:rPr>
          <w:rFonts w:cs="Times New Roman"/>
          <w:noProof/>
          <w:szCs w:val="24"/>
        </w:rPr>
        <w:t xml:space="preserve">Anggita, Dea Rayi, and Wahyu Nurul Hidayati. 2021. “UKURAN PERUSAHAAN TERHADAP EARNING RESPONSE COEFFICIENT ( ERC ) Abstrak.” </w:t>
      </w:r>
      <w:r w:rsidRPr="008417C8">
        <w:rPr>
          <w:rFonts w:cs="Times New Roman"/>
          <w:i/>
          <w:iCs/>
          <w:noProof/>
          <w:szCs w:val="24"/>
          <w:lang w:val="fi-FI"/>
        </w:rPr>
        <w:t>SAKUNTALA Prosiding Sarjana Akuntansi Tugas Akhir Secara Berkala</w:t>
      </w:r>
      <w:r w:rsidRPr="008417C8">
        <w:rPr>
          <w:rFonts w:cs="Times New Roman"/>
          <w:noProof/>
          <w:szCs w:val="24"/>
          <w:lang w:val="fi-FI"/>
        </w:rPr>
        <w:t xml:space="preserve"> 1 (1).</w:t>
      </w:r>
    </w:p>
    <w:p w14:paraId="4C1AD6FD" w14:textId="77777777" w:rsidR="00191BD1" w:rsidRPr="00361B88" w:rsidRDefault="00191BD1" w:rsidP="00191BD1">
      <w:pPr>
        <w:widowControl w:val="0"/>
        <w:autoSpaceDE w:val="0"/>
        <w:autoSpaceDN w:val="0"/>
        <w:adjustRightInd w:val="0"/>
        <w:spacing w:line="240" w:lineRule="auto"/>
        <w:ind w:left="480" w:hanging="480"/>
        <w:jc w:val="both"/>
        <w:rPr>
          <w:rFonts w:cs="Times New Roman"/>
          <w:noProof/>
          <w:szCs w:val="24"/>
        </w:rPr>
      </w:pPr>
      <w:r w:rsidRPr="008417C8">
        <w:rPr>
          <w:rFonts w:cs="Times New Roman"/>
          <w:noProof/>
          <w:szCs w:val="24"/>
          <w:lang w:val="fi-FI"/>
        </w:rPr>
        <w:t xml:space="preserve">Fabiana Meijon Fadul. </w:t>
      </w:r>
      <w:r w:rsidRPr="00361B88">
        <w:rPr>
          <w:rFonts w:cs="Times New Roman"/>
          <w:noProof/>
          <w:szCs w:val="24"/>
        </w:rPr>
        <w:t>2019. “Pengertian Sampel Menurut Sugiyono,” no. 2020: 43–54.</w:t>
      </w:r>
    </w:p>
    <w:p w14:paraId="3CB68C04" w14:textId="77777777" w:rsidR="00191BD1" w:rsidRPr="008417C8" w:rsidRDefault="00191BD1" w:rsidP="00191BD1">
      <w:pPr>
        <w:widowControl w:val="0"/>
        <w:autoSpaceDE w:val="0"/>
        <w:autoSpaceDN w:val="0"/>
        <w:adjustRightInd w:val="0"/>
        <w:spacing w:line="240" w:lineRule="auto"/>
        <w:ind w:left="480" w:hanging="480"/>
        <w:jc w:val="both"/>
        <w:rPr>
          <w:rFonts w:cs="Times New Roman"/>
          <w:noProof/>
          <w:szCs w:val="24"/>
          <w:lang w:val="fi-FI"/>
        </w:rPr>
      </w:pPr>
      <w:r w:rsidRPr="00361B88">
        <w:rPr>
          <w:rFonts w:cs="Times New Roman"/>
          <w:noProof/>
          <w:szCs w:val="24"/>
        </w:rPr>
        <w:t xml:space="preserve">Goh, Thomas Sumarsan, Jatongan Nainggolan, and Edison Sagala. 2019. “Pengaruh Corporate Social Responsibility, Ukuran Perusahaan, Leverage, Dan Profitabilitas Terhadap Agresivitas Pajak Pada Perusahaan Pertambangan Yang Terdaftar Di Bursa Efek Indonesia Tahun 2015-2018.” </w:t>
      </w:r>
      <w:r w:rsidRPr="008417C8">
        <w:rPr>
          <w:rFonts w:cs="Times New Roman"/>
          <w:i/>
          <w:iCs/>
          <w:noProof/>
          <w:szCs w:val="24"/>
          <w:lang w:val="fi-FI"/>
        </w:rPr>
        <w:t>Jurnal Akuntansi Dan Keuangan Methodist</w:t>
      </w:r>
      <w:r w:rsidRPr="008417C8">
        <w:rPr>
          <w:rFonts w:cs="Times New Roman"/>
          <w:noProof/>
          <w:szCs w:val="24"/>
          <w:lang w:val="fi-FI"/>
        </w:rPr>
        <w:t xml:space="preserve"> 3 (1): 83–96. https://ejurnal.methodist.ac.id/index.php/jsika/article/view/807.</w:t>
      </w:r>
    </w:p>
    <w:p w14:paraId="422642B4" w14:textId="77777777" w:rsidR="00191BD1" w:rsidRPr="00361B88" w:rsidRDefault="00191BD1" w:rsidP="00191BD1">
      <w:pPr>
        <w:widowControl w:val="0"/>
        <w:autoSpaceDE w:val="0"/>
        <w:autoSpaceDN w:val="0"/>
        <w:adjustRightInd w:val="0"/>
        <w:spacing w:line="240" w:lineRule="auto"/>
        <w:ind w:left="480" w:hanging="480"/>
        <w:jc w:val="both"/>
        <w:rPr>
          <w:rFonts w:cs="Times New Roman"/>
          <w:noProof/>
          <w:szCs w:val="24"/>
        </w:rPr>
      </w:pPr>
      <w:r w:rsidRPr="008417C8">
        <w:rPr>
          <w:rFonts w:cs="Times New Roman"/>
          <w:noProof/>
          <w:szCs w:val="24"/>
          <w:lang w:val="fi-FI"/>
        </w:rPr>
        <w:t xml:space="preserve">Handayani, Rini. 2018. “Pengaruh Return on Assets (ROA), Leverage Dan Ukuran Perusahaan Terhadap Tax Avoidance Pada Perusahaan Perbankan Yang Listing Di BEI Periode Tahun 2012-2015.” </w:t>
      </w:r>
      <w:r w:rsidRPr="00361B88">
        <w:rPr>
          <w:rFonts w:cs="Times New Roman"/>
          <w:i/>
          <w:iCs/>
          <w:noProof/>
          <w:szCs w:val="24"/>
        </w:rPr>
        <w:t>Jurnal Akuntansi Maranatha</w:t>
      </w:r>
      <w:r w:rsidRPr="00361B88">
        <w:rPr>
          <w:rFonts w:cs="Times New Roman"/>
          <w:noProof/>
          <w:szCs w:val="24"/>
        </w:rPr>
        <w:t xml:space="preserve"> 10 (1): 72–84. https://doi.org/10.28932/jam.v10i1.930.</w:t>
      </w:r>
    </w:p>
    <w:p w14:paraId="50D9D7A5" w14:textId="77777777" w:rsidR="00191BD1" w:rsidRPr="00361B88" w:rsidRDefault="00191BD1" w:rsidP="00191BD1">
      <w:pPr>
        <w:widowControl w:val="0"/>
        <w:autoSpaceDE w:val="0"/>
        <w:autoSpaceDN w:val="0"/>
        <w:adjustRightInd w:val="0"/>
        <w:spacing w:line="240" w:lineRule="auto"/>
        <w:ind w:left="480" w:hanging="480"/>
        <w:jc w:val="both"/>
        <w:rPr>
          <w:rFonts w:cs="Times New Roman"/>
          <w:noProof/>
          <w:szCs w:val="24"/>
        </w:rPr>
      </w:pPr>
      <w:r w:rsidRPr="00361B88">
        <w:rPr>
          <w:rFonts w:cs="Times New Roman"/>
          <w:noProof/>
          <w:szCs w:val="24"/>
        </w:rPr>
        <w:t xml:space="preserve">Hidayat, Muhammad, and Mukhtar Galib. 2019. “Analisis Leverage Operasi Dan Leverage Keuangan Terhadap Earning Per Share (EPS) Di Perusahaan Industri Pabrik Kertas Yang Terdaftar Di Bursa Efek Indonesia.” </w:t>
      </w:r>
      <w:r w:rsidRPr="00361B88">
        <w:rPr>
          <w:rFonts w:cs="Times New Roman"/>
          <w:i/>
          <w:iCs/>
          <w:noProof/>
          <w:szCs w:val="24"/>
        </w:rPr>
        <w:t>Journal of Economic, Management, Accounting and Technology</w:t>
      </w:r>
      <w:r w:rsidRPr="00361B88">
        <w:rPr>
          <w:rFonts w:cs="Times New Roman"/>
          <w:noProof/>
          <w:szCs w:val="24"/>
        </w:rPr>
        <w:t xml:space="preserve"> 2 (1): 33–42. https://doi.org/10.32500/jematech.v2i1.491.</w:t>
      </w:r>
    </w:p>
    <w:p w14:paraId="5032B021" w14:textId="77777777" w:rsidR="00191BD1" w:rsidRPr="00361B88" w:rsidRDefault="00191BD1" w:rsidP="00191BD1">
      <w:pPr>
        <w:widowControl w:val="0"/>
        <w:autoSpaceDE w:val="0"/>
        <w:autoSpaceDN w:val="0"/>
        <w:adjustRightInd w:val="0"/>
        <w:spacing w:line="240" w:lineRule="auto"/>
        <w:ind w:left="480" w:hanging="480"/>
        <w:jc w:val="both"/>
        <w:rPr>
          <w:rFonts w:cs="Times New Roman"/>
          <w:noProof/>
          <w:szCs w:val="24"/>
        </w:rPr>
      </w:pPr>
      <w:r w:rsidRPr="00361B88">
        <w:rPr>
          <w:rFonts w:cs="Times New Roman"/>
          <w:noProof/>
          <w:szCs w:val="24"/>
        </w:rPr>
        <w:t xml:space="preserve">Indrayani, Aprilia Wimas, Anita Wijayanti, and Yuli Chomsatu Samrotun. 2020. “Pengaruh Likuiditas, Profitabilitas Dan Devidend Payout Ratio Terhadap Harga Saham Pada Perusahaan Makanan Dan Minuman Di Bursa Efek Indonesia Periode 2015-2018.” </w:t>
      </w:r>
      <w:r w:rsidRPr="00361B88">
        <w:rPr>
          <w:rFonts w:cs="Times New Roman"/>
          <w:i/>
          <w:iCs/>
          <w:noProof/>
          <w:szCs w:val="24"/>
        </w:rPr>
        <w:t>Ekonomis: Journal of Economics and Business</w:t>
      </w:r>
      <w:r w:rsidRPr="00361B88">
        <w:rPr>
          <w:rFonts w:cs="Times New Roman"/>
          <w:noProof/>
          <w:szCs w:val="24"/>
        </w:rPr>
        <w:t xml:space="preserve"> 4 (1): 216. https://doi.org/10.33087/ekonomis.v4i1.89.</w:t>
      </w:r>
    </w:p>
    <w:p w14:paraId="439BBE00" w14:textId="77777777" w:rsidR="00191BD1" w:rsidRPr="008417C8" w:rsidRDefault="00191BD1" w:rsidP="00191BD1">
      <w:pPr>
        <w:widowControl w:val="0"/>
        <w:autoSpaceDE w:val="0"/>
        <w:autoSpaceDN w:val="0"/>
        <w:adjustRightInd w:val="0"/>
        <w:spacing w:line="240" w:lineRule="auto"/>
        <w:ind w:left="480" w:hanging="480"/>
        <w:jc w:val="both"/>
        <w:rPr>
          <w:rFonts w:cs="Times New Roman"/>
          <w:noProof/>
          <w:szCs w:val="24"/>
          <w:lang w:val="fi-FI"/>
        </w:rPr>
      </w:pPr>
      <w:r w:rsidRPr="00361B88">
        <w:rPr>
          <w:rFonts w:cs="Times New Roman"/>
          <w:noProof/>
          <w:szCs w:val="24"/>
        </w:rPr>
        <w:t xml:space="preserve">Intan, Rianto. 2020. “PENGARUH PERTUMBUHAN PERUSAHAAN, PROFITABILITAS DAN LEVERAGE TERHADAP EARNING RESPONSE COEFFICIENT (Suatu Kasus Pada Perusahaan Sektor Pertambangan Yang Terdaftar Di Bursa Efek Indonesia Periode 2015-2019).” </w:t>
      </w:r>
      <w:r w:rsidRPr="008417C8">
        <w:rPr>
          <w:rFonts w:cs="Times New Roman"/>
          <w:i/>
          <w:iCs/>
          <w:noProof/>
          <w:szCs w:val="24"/>
          <w:lang w:val="fi-FI"/>
        </w:rPr>
        <w:t>Bab I</w:t>
      </w:r>
      <w:r w:rsidRPr="008417C8">
        <w:rPr>
          <w:rFonts w:cs="Times New Roman"/>
          <w:noProof/>
          <w:szCs w:val="24"/>
          <w:lang w:val="fi-FI"/>
        </w:rPr>
        <w:t xml:space="preserve"> 2019: 1–16.</w:t>
      </w:r>
    </w:p>
    <w:p w14:paraId="48D4E1F0" w14:textId="77777777" w:rsidR="00191BD1" w:rsidRPr="00361B88" w:rsidRDefault="00191BD1" w:rsidP="00191BD1">
      <w:pPr>
        <w:widowControl w:val="0"/>
        <w:autoSpaceDE w:val="0"/>
        <w:autoSpaceDN w:val="0"/>
        <w:adjustRightInd w:val="0"/>
        <w:spacing w:line="240" w:lineRule="auto"/>
        <w:ind w:left="480" w:hanging="480"/>
        <w:jc w:val="both"/>
        <w:rPr>
          <w:rFonts w:cs="Times New Roman"/>
          <w:noProof/>
          <w:szCs w:val="24"/>
        </w:rPr>
      </w:pPr>
      <w:r w:rsidRPr="008417C8">
        <w:rPr>
          <w:rFonts w:cs="Times New Roman"/>
          <w:noProof/>
          <w:szCs w:val="24"/>
          <w:lang w:val="fi-FI"/>
        </w:rPr>
        <w:t xml:space="preserve">Janna, Nilda Miftahul. 2020. “Variabel Dan Skala Pengukuran Statistik.” </w:t>
      </w:r>
      <w:r w:rsidRPr="00361B88">
        <w:rPr>
          <w:rFonts w:cs="Times New Roman"/>
          <w:i/>
          <w:iCs/>
          <w:noProof/>
          <w:szCs w:val="24"/>
        </w:rPr>
        <w:t>Jurnal Pengukuran Statistik</w:t>
      </w:r>
      <w:r w:rsidRPr="00361B88">
        <w:rPr>
          <w:rFonts w:cs="Times New Roman"/>
          <w:noProof/>
          <w:szCs w:val="24"/>
        </w:rPr>
        <w:t xml:space="preserve"> 1 (1): 1–8.</w:t>
      </w:r>
    </w:p>
    <w:p w14:paraId="29EC8928" w14:textId="77777777" w:rsidR="00191BD1" w:rsidRPr="00361B88" w:rsidRDefault="00191BD1" w:rsidP="00191BD1">
      <w:pPr>
        <w:widowControl w:val="0"/>
        <w:autoSpaceDE w:val="0"/>
        <w:autoSpaceDN w:val="0"/>
        <w:adjustRightInd w:val="0"/>
        <w:spacing w:line="240" w:lineRule="auto"/>
        <w:ind w:left="480" w:hanging="480"/>
        <w:jc w:val="both"/>
        <w:rPr>
          <w:rFonts w:cs="Times New Roman"/>
          <w:noProof/>
          <w:szCs w:val="24"/>
        </w:rPr>
      </w:pPr>
      <w:r w:rsidRPr="00361B88">
        <w:rPr>
          <w:rFonts w:cs="Times New Roman"/>
          <w:noProof/>
          <w:szCs w:val="24"/>
        </w:rPr>
        <w:t xml:space="preserve">Malik, Abdul. 2023. “PENGARUH AKTIVA PAJAK TANGGUHAN DAN </w:t>
      </w:r>
      <w:r w:rsidRPr="00361B88">
        <w:rPr>
          <w:rFonts w:cs="Times New Roman"/>
          <w:noProof/>
          <w:szCs w:val="24"/>
        </w:rPr>
        <w:lastRenderedPageBreak/>
        <w:t>BEBAN PAJAK TANGGUHAN TERHADAP EARNINGS RESPONSE COEFFICIENT” 2 (1): 1–23. https://doi.org/10.30656/lawsuit.</w:t>
      </w:r>
    </w:p>
    <w:p w14:paraId="72569C9E" w14:textId="77777777" w:rsidR="00191BD1" w:rsidRPr="00361B88" w:rsidRDefault="00191BD1" w:rsidP="00191BD1">
      <w:pPr>
        <w:widowControl w:val="0"/>
        <w:autoSpaceDE w:val="0"/>
        <w:autoSpaceDN w:val="0"/>
        <w:adjustRightInd w:val="0"/>
        <w:spacing w:line="240" w:lineRule="auto"/>
        <w:ind w:left="480" w:hanging="480"/>
        <w:jc w:val="both"/>
        <w:rPr>
          <w:rFonts w:cs="Times New Roman"/>
          <w:noProof/>
          <w:szCs w:val="24"/>
        </w:rPr>
      </w:pPr>
      <w:r w:rsidRPr="00361B88">
        <w:rPr>
          <w:rFonts w:cs="Times New Roman"/>
          <w:noProof/>
          <w:szCs w:val="24"/>
        </w:rPr>
        <w:t xml:space="preserve">Maros, Hikmah, and Sarah Juniar. 2019. “Pengaruh Manajemen Laba Dan Financial Leverage Terhadap Agresivitas Pajak.” </w:t>
      </w:r>
      <w:r w:rsidRPr="00361B88">
        <w:rPr>
          <w:rFonts w:cs="Times New Roman"/>
          <w:i/>
          <w:iCs/>
          <w:noProof/>
          <w:szCs w:val="24"/>
        </w:rPr>
        <w:t>Pengaruh Manajemen Laba Dan Financial Leverage Terhadap Agresivitas Pajak</w:t>
      </w:r>
      <w:r w:rsidRPr="00361B88">
        <w:rPr>
          <w:rFonts w:cs="Times New Roman"/>
          <w:noProof/>
          <w:szCs w:val="24"/>
        </w:rPr>
        <w:t>, 1–23.</w:t>
      </w:r>
    </w:p>
    <w:p w14:paraId="7FC35879" w14:textId="77777777" w:rsidR="00191BD1" w:rsidRPr="00361B88" w:rsidRDefault="00191BD1" w:rsidP="00191BD1">
      <w:pPr>
        <w:widowControl w:val="0"/>
        <w:autoSpaceDE w:val="0"/>
        <w:autoSpaceDN w:val="0"/>
        <w:adjustRightInd w:val="0"/>
        <w:spacing w:line="240" w:lineRule="auto"/>
        <w:ind w:left="480" w:hanging="480"/>
        <w:jc w:val="both"/>
        <w:rPr>
          <w:rFonts w:cs="Times New Roman"/>
          <w:noProof/>
          <w:szCs w:val="24"/>
        </w:rPr>
      </w:pPr>
      <w:r w:rsidRPr="00361B88">
        <w:rPr>
          <w:rFonts w:cs="Times New Roman"/>
          <w:noProof/>
          <w:szCs w:val="24"/>
        </w:rPr>
        <w:t xml:space="preserve">Natsir, Recky Syahnal El. 2018. “PENGARUH LEVERAGE DAN PERSISTENSI LABA TERHADAP EARNINGS RESPONSE COEFFICIENT (Studi Empiris Pada Perusahaan Sektor Properti Dan Real Estate Yang Terdaftar Di Bursa Efek Indonesia 2012-2016).” </w:t>
      </w:r>
      <w:r w:rsidRPr="00361B88">
        <w:rPr>
          <w:rFonts w:cs="Times New Roman"/>
          <w:i/>
          <w:iCs/>
          <w:noProof/>
          <w:szCs w:val="24"/>
        </w:rPr>
        <w:t>Skripsi Fakultas Bisnis Dan Ekonomika Universitas Islam IndonesiaUniversitas Islam Indonesia Yogyakarta</w:t>
      </w:r>
      <w:r w:rsidRPr="00361B88">
        <w:rPr>
          <w:rFonts w:cs="Times New Roman"/>
          <w:noProof/>
          <w:szCs w:val="24"/>
        </w:rPr>
        <w:t>, 1–76.</w:t>
      </w:r>
    </w:p>
    <w:p w14:paraId="04261C90" w14:textId="77777777" w:rsidR="00191BD1" w:rsidRPr="00361B88" w:rsidRDefault="00191BD1" w:rsidP="00191BD1">
      <w:pPr>
        <w:widowControl w:val="0"/>
        <w:autoSpaceDE w:val="0"/>
        <w:autoSpaceDN w:val="0"/>
        <w:adjustRightInd w:val="0"/>
        <w:spacing w:line="240" w:lineRule="auto"/>
        <w:ind w:left="480" w:hanging="480"/>
        <w:jc w:val="both"/>
        <w:rPr>
          <w:rFonts w:cs="Times New Roman"/>
          <w:noProof/>
          <w:szCs w:val="24"/>
        </w:rPr>
      </w:pPr>
      <w:r w:rsidRPr="00361B88">
        <w:rPr>
          <w:rFonts w:cs="Times New Roman"/>
          <w:noProof/>
          <w:szCs w:val="24"/>
        </w:rPr>
        <w:t>Natsir, Recky Syhanal El. 2018. “Pengaruh Leverage Dan Persistensi Laba Terhadap Earnings Response Coefficient (Studi Empiris Pada Perusahaan Sektor Properti Dan Real Estate Yang Terdaftar Di Bursa Efek Indonesia 2012-2016).”</w:t>
      </w:r>
    </w:p>
    <w:p w14:paraId="45226481" w14:textId="77777777" w:rsidR="00191BD1" w:rsidRPr="008417C8" w:rsidRDefault="00191BD1" w:rsidP="00191BD1">
      <w:pPr>
        <w:widowControl w:val="0"/>
        <w:autoSpaceDE w:val="0"/>
        <w:autoSpaceDN w:val="0"/>
        <w:adjustRightInd w:val="0"/>
        <w:spacing w:line="240" w:lineRule="auto"/>
        <w:ind w:left="480" w:hanging="480"/>
        <w:jc w:val="both"/>
        <w:rPr>
          <w:rFonts w:cs="Times New Roman"/>
          <w:noProof/>
          <w:szCs w:val="24"/>
          <w:lang w:val="fi-FI"/>
        </w:rPr>
      </w:pPr>
      <w:r w:rsidRPr="00361B88">
        <w:rPr>
          <w:rFonts w:cs="Times New Roman"/>
          <w:noProof/>
          <w:szCs w:val="24"/>
        </w:rPr>
        <w:t xml:space="preserve">Pratiwi, Monica Weni, and Reta Sharfina Tahar. </w:t>
      </w:r>
      <w:r w:rsidRPr="008417C8">
        <w:rPr>
          <w:rFonts w:cs="Times New Roman"/>
          <w:noProof/>
          <w:szCs w:val="24"/>
          <w:lang w:val="fi-FI"/>
        </w:rPr>
        <w:t xml:space="preserve">2018. “Analisis Pengaruh Tingkat Hutang, Ukuran Perusahaan, Informasi Asimetri, Selisih Keuntungan Nilai Wajar, Dan Kepemilikan Saham Terhadap Pemilihan Metode Nilai Wajar Pada Properti Investasi.” </w:t>
      </w:r>
      <w:r w:rsidRPr="008417C8">
        <w:rPr>
          <w:rFonts w:cs="Times New Roman"/>
          <w:i/>
          <w:iCs/>
          <w:noProof/>
          <w:szCs w:val="24"/>
          <w:lang w:val="fi-FI"/>
        </w:rPr>
        <w:t>Media Riset Akuntansi Vol.7</w:t>
      </w:r>
      <w:r w:rsidRPr="008417C8">
        <w:rPr>
          <w:rFonts w:cs="Times New Roman"/>
          <w:noProof/>
          <w:szCs w:val="24"/>
          <w:lang w:val="fi-FI"/>
        </w:rPr>
        <w:t xml:space="preserve"> 7 (1): 101–19.</w:t>
      </w:r>
    </w:p>
    <w:p w14:paraId="53767870" w14:textId="77777777" w:rsidR="00191BD1" w:rsidRPr="00361B88" w:rsidRDefault="00191BD1" w:rsidP="00191BD1">
      <w:pPr>
        <w:widowControl w:val="0"/>
        <w:autoSpaceDE w:val="0"/>
        <w:autoSpaceDN w:val="0"/>
        <w:adjustRightInd w:val="0"/>
        <w:spacing w:line="240" w:lineRule="auto"/>
        <w:ind w:left="480" w:hanging="480"/>
        <w:jc w:val="both"/>
        <w:rPr>
          <w:rFonts w:cs="Times New Roman"/>
          <w:noProof/>
          <w:szCs w:val="24"/>
        </w:rPr>
      </w:pPr>
      <w:r w:rsidRPr="008417C8">
        <w:rPr>
          <w:rFonts w:cs="Times New Roman"/>
          <w:noProof/>
          <w:szCs w:val="24"/>
          <w:lang w:val="fi-FI"/>
        </w:rPr>
        <w:t xml:space="preserve">Putra As’ari, Andri Gunawan, and Tri Kartika Pertiwi. </w:t>
      </w:r>
      <w:r w:rsidRPr="00361B88">
        <w:rPr>
          <w:rFonts w:cs="Times New Roman"/>
          <w:noProof/>
          <w:szCs w:val="24"/>
        </w:rPr>
        <w:t xml:space="preserve">2021. “RASIO FUNDAMENTAL TERHADAP PERTUMBUHAN LABA: VARIABEL MODERASI UKURAN PERUSAHAAN (Fundamental Ratio on Income Growth: Variables of Company Size Moderation).” </w:t>
      </w:r>
      <w:r w:rsidRPr="00361B88">
        <w:rPr>
          <w:rFonts w:cs="Times New Roman"/>
          <w:i/>
          <w:iCs/>
          <w:noProof/>
          <w:szCs w:val="24"/>
        </w:rPr>
        <w:t>Journal of Information System, Applied, Management, Accounting and Research</w:t>
      </w:r>
      <w:r w:rsidRPr="00361B88">
        <w:rPr>
          <w:rFonts w:cs="Times New Roman"/>
          <w:noProof/>
          <w:szCs w:val="24"/>
        </w:rPr>
        <w:t xml:space="preserve"> 5 (1): 261. https://doi.org/10.52362/jisamar.v5i1.382.</w:t>
      </w:r>
    </w:p>
    <w:p w14:paraId="02F736C9" w14:textId="77777777" w:rsidR="00191BD1" w:rsidRPr="00361B88" w:rsidRDefault="00191BD1" w:rsidP="00191BD1">
      <w:pPr>
        <w:widowControl w:val="0"/>
        <w:autoSpaceDE w:val="0"/>
        <w:autoSpaceDN w:val="0"/>
        <w:adjustRightInd w:val="0"/>
        <w:spacing w:line="240" w:lineRule="auto"/>
        <w:ind w:left="480" w:hanging="480"/>
        <w:jc w:val="both"/>
        <w:rPr>
          <w:rFonts w:cs="Times New Roman"/>
          <w:noProof/>
          <w:szCs w:val="24"/>
        </w:rPr>
      </w:pPr>
      <w:r w:rsidRPr="00361B88">
        <w:rPr>
          <w:rFonts w:cs="Times New Roman"/>
          <w:noProof/>
          <w:szCs w:val="24"/>
        </w:rPr>
        <w:t xml:space="preserve">Rahmawati, Qiqi, and Nur Fajriah Asyik. 2020. “Pengaruh Struktur Modal, Profitabilitas, Risiko Sistematis, Dan Pertumbuhan Perusahaan Terhadap Earnings Response Coefficient.” </w:t>
      </w:r>
      <w:r w:rsidRPr="00361B88">
        <w:rPr>
          <w:rFonts w:cs="Times New Roman"/>
          <w:i/>
          <w:iCs/>
          <w:noProof/>
          <w:szCs w:val="24"/>
        </w:rPr>
        <w:t>Jurnal Ilmu Dan Riset Akuntansi</w:t>
      </w:r>
      <w:r w:rsidRPr="00361B88">
        <w:rPr>
          <w:rFonts w:cs="Times New Roman"/>
          <w:noProof/>
          <w:szCs w:val="24"/>
        </w:rPr>
        <w:t xml:space="preserve"> 9 (1): 1–17.</w:t>
      </w:r>
    </w:p>
    <w:p w14:paraId="60FD652E" w14:textId="77777777" w:rsidR="00191BD1" w:rsidRPr="00361B88" w:rsidRDefault="00191BD1" w:rsidP="00191BD1">
      <w:pPr>
        <w:widowControl w:val="0"/>
        <w:autoSpaceDE w:val="0"/>
        <w:autoSpaceDN w:val="0"/>
        <w:adjustRightInd w:val="0"/>
        <w:spacing w:line="240" w:lineRule="auto"/>
        <w:ind w:left="480" w:hanging="480"/>
        <w:jc w:val="both"/>
        <w:rPr>
          <w:rFonts w:cs="Times New Roman"/>
          <w:noProof/>
          <w:szCs w:val="24"/>
        </w:rPr>
      </w:pPr>
      <w:r w:rsidRPr="00361B88">
        <w:rPr>
          <w:rFonts w:cs="Times New Roman"/>
          <w:noProof/>
          <w:szCs w:val="24"/>
        </w:rPr>
        <w:t xml:space="preserve">Rinaldi, Muhamad, and Muhammad Nanang Prayudyanto. 2021. “Persepsi Masyarakat Terhadap Tingkat Kepuasan Pelayanan Bus Transjabodetabek Dengan Metode Uji Asumsi Klasik Dan Uji Regresi Linear Berganda.” </w:t>
      </w:r>
      <w:r w:rsidRPr="00361B88">
        <w:rPr>
          <w:rFonts w:cs="Times New Roman"/>
          <w:i/>
          <w:iCs/>
          <w:noProof/>
          <w:szCs w:val="24"/>
        </w:rPr>
        <w:t>Seminar Nasional Ketekniksipilan</w:t>
      </w:r>
      <w:r w:rsidRPr="00361B88">
        <w:rPr>
          <w:rFonts w:cs="Times New Roman"/>
          <w:noProof/>
          <w:szCs w:val="24"/>
        </w:rPr>
        <w:t xml:space="preserve"> 1 (1): 2021.</w:t>
      </w:r>
    </w:p>
    <w:p w14:paraId="741F7D56" w14:textId="77777777" w:rsidR="00191BD1" w:rsidRPr="00361B88" w:rsidRDefault="00191BD1" w:rsidP="00191BD1">
      <w:pPr>
        <w:widowControl w:val="0"/>
        <w:autoSpaceDE w:val="0"/>
        <w:autoSpaceDN w:val="0"/>
        <w:adjustRightInd w:val="0"/>
        <w:spacing w:line="240" w:lineRule="auto"/>
        <w:ind w:left="480" w:hanging="480"/>
        <w:jc w:val="both"/>
        <w:rPr>
          <w:rFonts w:cs="Times New Roman"/>
          <w:noProof/>
          <w:szCs w:val="24"/>
        </w:rPr>
      </w:pPr>
      <w:r w:rsidRPr="00361B88">
        <w:rPr>
          <w:rFonts w:cs="Times New Roman"/>
          <w:noProof/>
          <w:szCs w:val="24"/>
        </w:rPr>
        <w:t xml:space="preserve">Rosdiani, Nenti, and Angga Hidayat. 2020. “Pengaruh Derivatif Keuangan, Konservatisme Akuntansi Dan Intensitas Aset Tetap Terhadap Penghindaran Pajak.” </w:t>
      </w:r>
      <w:r w:rsidRPr="00361B88">
        <w:rPr>
          <w:rFonts w:cs="Times New Roman"/>
          <w:i/>
          <w:iCs/>
          <w:noProof/>
          <w:szCs w:val="24"/>
        </w:rPr>
        <w:t>Journal of Technopreneurship on Economics and Business Review</w:t>
      </w:r>
      <w:r w:rsidRPr="00361B88">
        <w:rPr>
          <w:rFonts w:cs="Times New Roman"/>
          <w:noProof/>
          <w:szCs w:val="24"/>
        </w:rPr>
        <w:t xml:space="preserve"> 1 (2): 131–43. https://doi.org/10.37195/jtebr.v1i2.43.</w:t>
      </w:r>
    </w:p>
    <w:p w14:paraId="77184519" w14:textId="77777777" w:rsidR="00191BD1" w:rsidRPr="008417C8" w:rsidRDefault="00191BD1" w:rsidP="00191BD1">
      <w:pPr>
        <w:widowControl w:val="0"/>
        <w:autoSpaceDE w:val="0"/>
        <w:autoSpaceDN w:val="0"/>
        <w:adjustRightInd w:val="0"/>
        <w:spacing w:line="240" w:lineRule="auto"/>
        <w:ind w:left="480" w:hanging="480"/>
        <w:jc w:val="both"/>
        <w:rPr>
          <w:rFonts w:cs="Times New Roman"/>
          <w:noProof/>
          <w:szCs w:val="24"/>
          <w:lang w:val="fi-FI"/>
        </w:rPr>
      </w:pPr>
      <w:r w:rsidRPr="00361B88">
        <w:rPr>
          <w:rFonts w:cs="Times New Roman"/>
          <w:noProof/>
          <w:szCs w:val="24"/>
        </w:rPr>
        <w:t>Sarahwati, Yuniar, and Iwan Setiadi. 2022. “Pengaruh Ukuran Perusahaan, Leverage, Dan Profitabilitas Terhadap Earnings Response Coefficient Pada Perusahaan Properti Dan Real Estate Yang Terdaftar Di Bei Periode 2014-</w:t>
      </w:r>
      <w:r w:rsidRPr="00361B88">
        <w:rPr>
          <w:rFonts w:cs="Times New Roman"/>
          <w:noProof/>
          <w:szCs w:val="24"/>
        </w:rPr>
        <w:lastRenderedPageBreak/>
        <w:t xml:space="preserve">2018.” </w:t>
      </w:r>
      <w:r w:rsidRPr="008417C8">
        <w:rPr>
          <w:rFonts w:cs="Times New Roman"/>
          <w:i/>
          <w:iCs/>
          <w:noProof/>
          <w:szCs w:val="24"/>
          <w:lang w:val="fi-FI"/>
        </w:rPr>
        <w:t>Kompartemen : Jurnal Ilmiah Akuntansi</w:t>
      </w:r>
      <w:r w:rsidRPr="008417C8">
        <w:rPr>
          <w:rFonts w:cs="Times New Roman"/>
          <w:noProof/>
          <w:szCs w:val="24"/>
          <w:lang w:val="fi-FI"/>
        </w:rPr>
        <w:t xml:space="preserve"> 19 (2): 1. https://doi.org/10.30595/kompartemen.v19i2.8636.</w:t>
      </w:r>
    </w:p>
    <w:p w14:paraId="791FCFD5" w14:textId="77777777" w:rsidR="00191BD1" w:rsidRPr="00361B88" w:rsidRDefault="00191BD1" w:rsidP="00191BD1">
      <w:pPr>
        <w:widowControl w:val="0"/>
        <w:autoSpaceDE w:val="0"/>
        <w:autoSpaceDN w:val="0"/>
        <w:adjustRightInd w:val="0"/>
        <w:spacing w:line="240" w:lineRule="auto"/>
        <w:ind w:left="480" w:hanging="480"/>
        <w:jc w:val="both"/>
        <w:rPr>
          <w:rFonts w:cs="Times New Roman"/>
          <w:noProof/>
          <w:szCs w:val="24"/>
        </w:rPr>
      </w:pPr>
      <w:r w:rsidRPr="008417C8">
        <w:rPr>
          <w:rFonts w:cs="Times New Roman"/>
          <w:noProof/>
          <w:szCs w:val="24"/>
          <w:lang w:val="fi-FI"/>
        </w:rPr>
        <w:t xml:space="preserve">Sari, Desi Puspita. 2022. “IMPLEMENTASI TEORI AGENSI, EFISIENSI PASAR, TEORI SINYAL DAN TEORI KONTRAK DALAM PELAPORAN AKUNTANSI PADA PT. </w:t>
      </w:r>
      <w:r w:rsidRPr="00361B88">
        <w:rPr>
          <w:rFonts w:cs="Times New Roman"/>
          <w:noProof/>
          <w:szCs w:val="24"/>
        </w:rPr>
        <w:t>ESKIMO WIERAPERDANA,” no. 43219120147.</w:t>
      </w:r>
    </w:p>
    <w:p w14:paraId="5475130B" w14:textId="77777777" w:rsidR="00191BD1" w:rsidRPr="00361B88" w:rsidRDefault="00191BD1" w:rsidP="00191BD1">
      <w:pPr>
        <w:widowControl w:val="0"/>
        <w:autoSpaceDE w:val="0"/>
        <w:autoSpaceDN w:val="0"/>
        <w:adjustRightInd w:val="0"/>
        <w:spacing w:line="240" w:lineRule="auto"/>
        <w:ind w:left="480" w:hanging="480"/>
        <w:jc w:val="both"/>
        <w:rPr>
          <w:rFonts w:cs="Times New Roman"/>
          <w:noProof/>
          <w:szCs w:val="24"/>
        </w:rPr>
      </w:pPr>
      <w:r w:rsidRPr="00361B88">
        <w:rPr>
          <w:rFonts w:cs="Times New Roman"/>
          <w:noProof/>
          <w:szCs w:val="24"/>
        </w:rPr>
        <w:t xml:space="preserve">Sari, Merlin Mayang, Ratna Wijayanti Daniar Paramita, and Muchamad Taufiq. 2018. “Pengaruh Leverage, Profitabilitas Dan Voluntary Disclosure Terhadap Earnings Response Coefficient (Erc) (Studi Empiris Pada Perusahaan Manufaktur Yang Terdaftar Di Bei Tahun 2014-2016).” </w:t>
      </w:r>
      <w:r w:rsidRPr="00361B88">
        <w:rPr>
          <w:rFonts w:cs="Times New Roman"/>
          <w:i/>
          <w:iCs/>
          <w:noProof/>
          <w:szCs w:val="24"/>
        </w:rPr>
        <w:t>Proceedings</w:t>
      </w:r>
      <w:r w:rsidRPr="00361B88">
        <w:rPr>
          <w:rFonts w:cs="Times New Roman"/>
          <w:noProof/>
          <w:szCs w:val="24"/>
        </w:rPr>
        <w:t xml:space="preserve"> 1 (1): 360–71.</w:t>
      </w:r>
    </w:p>
    <w:p w14:paraId="2A685FCB" w14:textId="77777777" w:rsidR="00191BD1" w:rsidRPr="00361B88" w:rsidRDefault="00191BD1" w:rsidP="00191BD1">
      <w:pPr>
        <w:widowControl w:val="0"/>
        <w:autoSpaceDE w:val="0"/>
        <w:autoSpaceDN w:val="0"/>
        <w:adjustRightInd w:val="0"/>
        <w:spacing w:line="240" w:lineRule="auto"/>
        <w:ind w:left="480" w:hanging="480"/>
        <w:jc w:val="both"/>
        <w:rPr>
          <w:rFonts w:cs="Times New Roman"/>
          <w:noProof/>
          <w:szCs w:val="24"/>
        </w:rPr>
      </w:pPr>
      <w:r w:rsidRPr="00361B88">
        <w:rPr>
          <w:rFonts w:cs="Times New Roman"/>
          <w:noProof/>
          <w:szCs w:val="24"/>
        </w:rPr>
        <w:t xml:space="preserve">Suardana, I Ketut, I Dewa Made Endiana, and I Putu Edy Arizona. </w:t>
      </w:r>
      <w:r w:rsidRPr="008417C8">
        <w:rPr>
          <w:rFonts w:cs="Times New Roman"/>
          <w:noProof/>
          <w:szCs w:val="24"/>
          <w:lang w:val="fi-FI"/>
        </w:rPr>
        <w:t xml:space="preserve">2020. “Pengaruh Profitabilitas, Kebijakan Utang, Kebijakan Dividen, Keputusan Investasi, Dan Ukuran Perusahaan Terhadap Nilai Perusahaan.” </w:t>
      </w:r>
      <w:r w:rsidRPr="00361B88">
        <w:rPr>
          <w:rFonts w:cs="Times New Roman"/>
          <w:i/>
          <w:iCs/>
          <w:noProof/>
          <w:szCs w:val="24"/>
        </w:rPr>
        <w:t>Jurnal Kharisma</w:t>
      </w:r>
      <w:r w:rsidRPr="00361B88">
        <w:rPr>
          <w:rFonts w:cs="Times New Roman"/>
          <w:noProof/>
          <w:szCs w:val="24"/>
        </w:rPr>
        <w:t xml:space="preserve"> 2 (2): 137–55. http://e-journal.unmas.ac.id/index.php/kharisma/article/view/975/845.</w:t>
      </w:r>
    </w:p>
    <w:p w14:paraId="012FBD93" w14:textId="77777777" w:rsidR="00191BD1" w:rsidRPr="008417C8" w:rsidRDefault="00191BD1" w:rsidP="00191BD1">
      <w:pPr>
        <w:widowControl w:val="0"/>
        <w:autoSpaceDE w:val="0"/>
        <w:autoSpaceDN w:val="0"/>
        <w:adjustRightInd w:val="0"/>
        <w:spacing w:line="240" w:lineRule="auto"/>
        <w:ind w:left="480" w:hanging="480"/>
        <w:jc w:val="both"/>
        <w:rPr>
          <w:rFonts w:cs="Times New Roman"/>
          <w:noProof/>
          <w:szCs w:val="24"/>
          <w:lang w:val="fi-FI"/>
        </w:rPr>
      </w:pPr>
      <w:r w:rsidRPr="00361B88">
        <w:rPr>
          <w:rFonts w:cs="Times New Roman"/>
          <w:noProof/>
          <w:szCs w:val="24"/>
        </w:rPr>
        <w:t xml:space="preserve">Sumayyah. 2020. “PENGARUH KUALITAS PRODUK, HARGA DAN PROMOSI TERHADAP KEPUTUSAN PEMBELIAN PADA SHOPEE (Studi Kasus Pada Shopee Kelurahan Sunter Jaya Jakarta Utara).” </w:t>
      </w:r>
      <w:r w:rsidRPr="008417C8">
        <w:rPr>
          <w:rFonts w:cs="Times New Roman"/>
          <w:i/>
          <w:iCs/>
          <w:noProof/>
          <w:szCs w:val="24"/>
          <w:lang w:val="fi-FI"/>
        </w:rPr>
        <w:t>Repository STEI. Sekolah Tinggi Ilmu Ekonomi Indonesia (STEI) Jakarta</w:t>
      </w:r>
      <w:r w:rsidRPr="008417C8">
        <w:rPr>
          <w:rFonts w:cs="Times New Roman"/>
          <w:noProof/>
          <w:szCs w:val="24"/>
          <w:lang w:val="fi-FI"/>
        </w:rPr>
        <w:t>, no. 9: 39.</w:t>
      </w:r>
    </w:p>
    <w:p w14:paraId="1F88672D" w14:textId="77777777" w:rsidR="00191BD1" w:rsidRPr="008417C8" w:rsidRDefault="00191BD1" w:rsidP="00191BD1">
      <w:pPr>
        <w:widowControl w:val="0"/>
        <w:autoSpaceDE w:val="0"/>
        <w:autoSpaceDN w:val="0"/>
        <w:adjustRightInd w:val="0"/>
        <w:spacing w:line="240" w:lineRule="auto"/>
        <w:ind w:left="480" w:hanging="480"/>
        <w:jc w:val="both"/>
        <w:rPr>
          <w:rFonts w:cs="Times New Roman"/>
          <w:noProof/>
          <w:szCs w:val="24"/>
          <w:lang w:val="fi-FI"/>
        </w:rPr>
      </w:pPr>
      <w:r w:rsidRPr="00361B88">
        <w:rPr>
          <w:rFonts w:cs="Times New Roman"/>
          <w:noProof/>
          <w:szCs w:val="24"/>
        </w:rPr>
        <w:t xml:space="preserve">Sutrisna Dewi, Nyoman, and I Ketut Yadnyana. 2019. “Pengaruh Profitabilitas Dan Leverage Pada Earning Response Coefficient Dengan Ukuran Perusahaan Sebagai Variabel Pemoderasi.” </w:t>
      </w:r>
      <w:r w:rsidRPr="008417C8">
        <w:rPr>
          <w:rFonts w:cs="Times New Roman"/>
          <w:i/>
          <w:iCs/>
          <w:noProof/>
          <w:szCs w:val="24"/>
          <w:lang w:val="fi-FI"/>
        </w:rPr>
        <w:t>E-Jurnal Akuntansi</w:t>
      </w:r>
      <w:r w:rsidRPr="008417C8">
        <w:rPr>
          <w:rFonts w:cs="Times New Roman"/>
          <w:noProof/>
          <w:szCs w:val="24"/>
          <w:lang w:val="fi-FI"/>
        </w:rPr>
        <w:t xml:space="preserve"> 26: 2041. https://doi.org/10.24843/eja.2019.v26.i03.p14.</w:t>
      </w:r>
    </w:p>
    <w:p w14:paraId="4EEAFAB8" w14:textId="77777777" w:rsidR="00191BD1" w:rsidRPr="008417C8" w:rsidRDefault="00191BD1" w:rsidP="00191BD1">
      <w:pPr>
        <w:widowControl w:val="0"/>
        <w:autoSpaceDE w:val="0"/>
        <w:autoSpaceDN w:val="0"/>
        <w:adjustRightInd w:val="0"/>
        <w:spacing w:line="240" w:lineRule="auto"/>
        <w:ind w:left="480" w:hanging="480"/>
        <w:jc w:val="both"/>
        <w:rPr>
          <w:rFonts w:cs="Times New Roman"/>
          <w:noProof/>
          <w:szCs w:val="24"/>
          <w:lang w:val="fi-FI"/>
        </w:rPr>
      </w:pPr>
      <w:r w:rsidRPr="00361B88">
        <w:rPr>
          <w:rFonts w:cs="Times New Roman"/>
          <w:noProof/>
          <w:szCs w:val="24"/>
        </w:rPr>
        <w:t xml:space="preserve">Tandi, Victor P., Parengkuan Tommy, and Victoria N. Untu. 2018. “Pengaruh Struktur Modal Dan Pertumbuhan Aset Terhadap Profitabilitas Perusahaan Otomotif Yang Terdaftar Di BEI Periode 2013 – 2016.” </w:t>
      </w:r>
      <w:r w:rsidRPr="008417C8">
        <w:rPr>
          <w:rFonts w:cs="Times New Roman"/>
          <w:i/>
          <w:iCs/>
          <w:noProof/>
          <w:szCs w:val="24"/>
          <w:lang w:val="fi-FI"/>
        </w:rPr>
        <w:t>Jurnal EMBA: Jurnal Riset Ekonomi, Manajemen, Bisnis Dan Akuntansi</w:t>
      </w:r>
      <w:r w:rsidRPr="008417C8">
        <w:rPr>
          <w:rFonts w:cs="Times New Roman"/>
          <w:noProof/>
          <w:szCs w:val="24"/>
          <w:lang w:val="fi-FI"/>
        </w:rPr>
        <w:t xml:space="preserve"> 6 (2): 629–37.</w:t>
      </w:r>
    </w:p>
    <w:p w14:paraId="27A1543A" w14:textId="77777777" w:rsidR="00191BD1" w:rsidRPr="00361B88" w:rsidRDefault="00191BD1" w:rsidP="00191BD1">
      <w:pPr>
        <w:widowControl w:val="0"/>
        <w:autoSpaceDE w:val="0"/>
        <w:autoSpaceDN w:val="0"/>
        <w:adjustRightInd w:val="0"/>
        <w:spacing w:line="240" w:lineRule="auto"/>
        <w:ind w:left="480" w:hanging="480"/>
        <w:jc w:val="both"/>
        <w:rPr>
          <w:rFonts w:cs="Times New Roman"/>
          <w:noProof/>
          <w:szCs w:val="24"/>
        </w:rPr>
      </w:pPr>
      <w:r w:rsidRPr="008417C8">
        <w:rPr>
          <w:rFonts w:cs="Times New Roman"/>
          <w:noProof/>
          <w:szCs w:val="24"/>
          <w:lang w:val="fi-FI"/>
        </w:rPr>
        <w:t xml:space="preserve">Tania, Tiara. </w:t>
      </w:r>
      <w:r w:rsidRPr="00361B88">
        <w:rPr>
          <w:rFonts w:cs="Times New Roman"/>
          <w:noProof/>
          <w:szCs w:val="24"/>
        </w:rPr>
        <w:t>2018. “PENGARUH AKUNTANSI KONSERVATIF, DEFAULT RISK, DAN PROFITABILITAS TERHADAP EARNINGS RESPONSE COEFFICIENT (ERC) (Studi Empiris Pada Perusahaan Manufaktur Yang Terdaftar Di BEI Tahun 2012-2015),” 1–24.</w:t>
      </w:r>
    </w:p>
    <w:p w14:paraId="7328FC19" w14:textId="77777777" w:rsidR="00191BD1" w:rsidRPr="00361B88" w:rsidRDefault="00191BD1" w:rsidP="00191BD1">
      <w:pPr>
        <w:widowControl w:val="0"/>
        <w:autoSpaceDE w:val="0"/>
        <w:autoSpaceDN w:val="0"/>
        <w:adjustRightInd w:val="0"/>
        <w:spacing w:line="240" w:lineRule="auto"/>
        <w:ind w:left="480" w:hanging="480"/>
        <w:jc w:val="both"/>
        <w:rPr>
          <w:rFonts w:cs="Times New Roman"/>
          <w:noProof/>
          <w:szCs w:val="24"/>
        </w:rPr>
      </w:pPr>
      <w:r w:rsidRPr="00361B88">
        <w:rPr>
          <w:rFonts w:cs="Times New Roman"/>
          <w:noProof/>
          <w:szCs w:val="24"/>
        </w:rPr>
        <w:t xml:space="preserve">Widiastari, Putu Ayu, and Geianta Wirawan Yasa. 2018. “Pengaruh_Profitabilitas_Free_Cash_Flow_dan_Ukuran_perusahaan.” </w:t>
      </w:r>
      <w:r w:rsidRPr="00361B88">
        <w:rPr>
          <w:rFonts w:cs="Times New Roman"/>
          <w:i/>
          <w:iCs/>
          <w:noProof/>
          <w:szCs w:val="24"/>
        </w:rPr>
        <w:t>Pengaruh Probabilitas Free Cash Flow Dan Ukuran Perusahaan</w:t>
      </w:r>
      <w:r w:rsidRPr="00361B88">
        <w:rPr>
          <w:rFonts w:cs="Times New Roman"/>
          <w:noProof/>
          <w:szCs w:val="24"/>
        </w:rPr>
        <w:t xml:space="preserve"> 23: 957–81.</w:t>
      </w:r>
    </w:p>
    <w:p w14:paraId="065C52C8" w14:textId="77777777" w:rsidR="00191BD1" w:rsidRPr="008417C8" w:rsidRDefault="00191BD1" w:rsidP="00191BD1">
      <w:pPr>
        <w:widowControl w:val="0"/>
        <w:autoSpaceDE w:val="0"/>
        <w:autoSpaceDN w:val="0"/>
        <w:adjustRightInd w:val="0"/>
        <w:spacing w:line="240" w:lineRule="auto"/>
        <w:ind w:left="480" w:hanging="480"/>
        <w:jc w:val="both"/>
        <w:rPr>
          <w:rFonts w:cs="Times New Roman"/>
          <w:noProof/>
          <w:lang w:val="fi-FI"/>
        </w:rPr>
      </w:pPr>
      <w:r w:rsidRPr="00361B88">
        <w:rPr>
          <w:rFonts w:cs="Times New Roman"/>
          <w:noProof/>
          <w:szCs w:val="24"/>
        </w:rPr>
        <w:t xml:space="preserve">Yunianto, Dwi. 2021. </w:t>
      </w:r>
      <w:r w:rsidRPr="008417C8">
        <w:rPr>
          <w:rFonts w:cs="Times New Roman"/>
          <w:noProof/>
          <w:szCs w:val="24"/>
          <w:lang w:val="fi-FI"/>
        </w:rPr>
        <w:t xml:space="preserve">“Analisis Pertumbuhan Dan Kepadatan Penduduk Terhadap Pertumbuhan Ekonomi.” </w:t>
      </w:r>
      <w:r w:rsidRPr="008417C8">
        <w:rPr>
          <w:rFonts w:cs="Times New Roman"/>
          <w:i/>
          <w:iCs/>
          <w:noProof/>
          <w:szCs w:val="24"/>
          <w:lang w:val="fi-FI"/>
        </w:rPr>
        <w:t>Forum Ekonomi</w:t>
      </w:r>
      <w:r w:rsidRPr="008417C8">
        <w:rPr>
          <w:rFonts w:cs="Times New Roman"/>
          <w:noProof/>
          <w:szCs w:val="24"/>
          <w:lang w:val="fi-FI"/>
        </w:rPr>
        <w:t xml:space="preserve"> 23 (4): 688–99. https://doi.org/10.30872/jfor.v23i4.10233.</w:t>
      </w:r>
    </w:p>
    <w:p w14:paraId="1EE07456" w14:textId="77777777" w:rsidR="00000000" w:rsidRPr="00191BD1" w:rsidRDefault="00191BD1" w:rsidP="00191BD1">
      <w:r>
        <w:rPr>
          <w:rFonts w:cs="Times New Roman"/>
          <w:szCs w:val="24"/>
        </w:rPr>
        <w:fldChar w:fldCharType="end"/>
      </w:r>
    </w:p>
    <w:sectPr w:rsidR="00AB2BF4" w:rsidRPr="00191BD1" w:rsidSect="00BC4A05">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CE7B4" w14:textId="77777777" w:rsidR="00343B1E" w:rsidRDefault="00343B1E">
      <w:pPr>
        <w:spacing w:after="0" w:line="240" w:lineRule="auto"/>
      </w:pPr>
      <w:r>
        <w:separator/>
      </w:r>
    </w:p>
  </w:endnote>
  <w:endnote w:type="continuationSeparator" w:id="0">
    <w:p w14:paraId="3A6A3E39" w14:textId="77777777" w:rsidR="00343B1E" w:rsidRDefault="0034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F2B5" w14:textId="77777777" w:rsidR="005E0653" w:rsidRDefault="005E0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74AD" w14:textId="77777777" w:rsidR="005E0653" w:rsidRDefault="005E0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92E3" w14:textId="77777777" w:rsidR="00000000" w:rsidRDefault="00000000" w:rsidP="00820418">
    <w:pPr>
      <w:pStyle w:val="Footer"/>
    </w:pPr>
  </w:p>
  <w:p w14:paraId="197AF9D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BFF8" w14:textId="77777777" w:rsidR="00343B1E" w:rsidRDefault="00343B1E">
      <w:pPr>
        <w:spacing w:after="0" w:line="240" w:lineRule="auto"/>
      </w:pPr>
      <w:r>
        <w:separator/>
      </w:r>
    </w:p>
  </w:footnote>
  <w:footnote w:type="continuationSeparator" w:id="0">
    <w:p w14:paraId="3DCBE560" w14:textId="77777777" w:rsidR="00343B1E" w:rsidRDefault="00343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3281" w14:textId="38C8E340" w:rsidR="005E0653" w:rsidRDefault="005E0653">
    <w:pPr>
      <w:pStyle w:val="Header"/>
    </w:pPr>
    <w:r>
      <w:rPr>
        <w:noProof/>
      </w:rPr>
      <w:pict w14:anchorId="0DC2E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C742" w14:textId="088834F4" w:rsidR="005E0653" w:rsidRDefault="005E0653">
    <w:pPr>
      <w:pStyle w:val="Header"/>
    </w:pPr>
    <w:r>
      <w:rPr>
        <w:noProof/>
      </w:rPr>
      <w:pict w14:anchorId="6C643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0E92" w14:textId="1C4ED919" w:rsidR="005E0653" w:rsidRDefault="005E0653">
    <w:pPr>
      <w:pStyle w:val="Header"/>
    </w:pPr>
    <w:r>
      <w:rPr>
        <w:noProof/>
      </w:rPr>
      <w:pict w14:anchorId="17EB4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8B5"/>
    <w:multiLevelType w:val="hybridMultilevel"/>
    <w:tmpl w:val="EDEE8C34"/>
    <w:lvl w:ilvl="0" w:tplc="3809000F">
      <w:start w:val="1"/>
      <w:numFmt w:val="decimal"/>
      <w:lvlText w:val="%1."/>
      <w:lvlJc w:val="left"/>
      <w:pPr>
        <w:ind w:left="1429" w:hanging="360"/>
      </w:pPr>
    </w:lvl>
    <w:lvl w:ilvl="1" w:tplc="15EC49F0">
      <w:start w:val="1"/>
      <w:numFmt w:val="decimal"/>
      <w:lvlText w:val="%2."/>
      <w:lvlJc w:val="left"/>
      <w:pPr>
        <w:ind w:left="1429" w:hanging="360"/>
      </w:pPr>
      <w:rPr>
        <w:b w:val="0"/>
        <w:bCs w:val="0"/>
      </w:r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 w15:restartNumberingAfterBreak="0">
    <w:nsid w:val="169C116A"/>
    <w:multiLevelType w:val="hybridMultilevel"/>
    <w:tmpl w:val="A038047E"/>
    <w:lvl w:ilvl="0" w:tplc="38090017">
      <w:start w:val="1"/>
      <w:numFmt w:val="lowerLetter"/>
      <w:lvlText w:val="%1)"/>
      <w:lvlJc w:val="left"/>
      <w:pPr>
        <w:ind w:left="1429" w:hanging="360"/>
      </w:pPr>
    </w:lvl>
    <w:lvl w:ilvl="1" w:tplc="C7A2474A">
      <w:start w:val="1"/>
      <w:numFmt w:val="decimal"/>
      <w:lvlText w:val="%2."/>
      <w:lvlJc w:val="left"/>
      <w:pPr>
        <w:ind w:left="214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187D314C"/>
    <w:multiLevelType w:val="hybridMultilevel"/>
    <w:tmpl w:val="B4EE7FAC"/>
    <w:lvl w:ilvl="0" w:tplc="5686DA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0EE7282"/>
    <w:multiLevelType w:val="hybridMultilevel"/>
    <w:tmpl w:val="74AEAF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F7321"/>
    <w:multiLevelType w:val="hybridMultilevel"/>
    <w:tmpl w:val="083670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44476B6"/>
    <w:multiLevelType w:val="hybridMultilevel"/>
    <w:tmpl w:val="A26A6F60"/>
    <w:lvl w:ilvl="0" w:tplc="FFFFFFFF">
      <w:start w:val="1"/>
      <w:numFmt w:val="lowerLetter"/>
      <w:lvlText w:val="%1)"/>
      <w:lvlJc w:val="left"/>
      <w:pPr>
        <w:ind w:left="1429" w:hanging="360"/>
      </w:pPr>
    </w:lvl>
    <w:lvl w:ilvl="1" w:tplc="3809000F">
      <w:start w:val="1"/>
      <w:numFmt w:val="decimal"/>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54A4850"/>
    <w:multiLevelType w:val="hybridMultilevel"/>
    <w:tmpl w:val="CB7E2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D61FAE"/>
    <w:multiLevelType w:val="hybridMultilevel"/>
    <w:tmpl w:val="26201442"/>
    <w:lvl w:ilvl="0" w:tplc="5686DACA">
      <w:start w:val="1"/>
      <w:numFmt w:val="decimal"/>
      <w:lvlText w:val="%1."/>
      <w:lvlJc w:val="left"/>
      <w:pPr>
        <w:ind w:left="1789" w:hanging="360"/>
      </w:pPr>
      <w:rPr>
        <w:rFonts w:hint="default"/>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8" w15:restartNumberingAfterBreak="0">
    <w:nsid w:val="2A8559A9"/>
    <w:multiLevelType w:val="hybridMultilevel"/>
    <w:tmpl w:val="E2988308"/>
    <w:lvl w:ilvl="0" w:tplc="38090011">
      <w:start w:val="1"/>
      <w:numFmt w:val="decimal"/>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9" w15:restartNumberingAfterBreak="0">
    <w:nsid w:val="2CCB12BC"/>
    <w:multiLevelType w:val="hybridMultilevel"/>
    <w:tmpl w:val="C518CB7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15:restartNumberingAfterBreak="0">
    <w:nsid w:val="2D001E51"/>
    <w:multiLevelType w:val="hybridMultilevel"/>
    <w:tmpl w:val="8CEA60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217D49"/>
    <w:multiLevelType w:val="hybridMultilevel"/>
    <w:tmpl w:val="39BC3FCE"/>
    <w:lvl w:ilvl="0" w:tplc="5686DAC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2D4D100C"/>
    <w:multiLevelType w:val="hybridMultilevel"/>
    <w:tmpl w:val="C4E28F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645304"/>
    <w:multiLevelType w:val="hybridMultilevel"/>
    <w:tmpl w:val="19F07C12"/>
    <w:lvl w:ilvl="0" w:tplc="5686DAC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 w15:restartNumberingAfterBreak="0">
    <w:nsid w:val="415352FB"/>
    <w:multiLevelType w:val="hybridMultilevel"/>
    <w:tmpl w:val="8CEA60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6A15624"/>
    <w:multiLevelType w:val="hybridMultilevel"/>
    <w:tmpl w:val="C94CF258"/>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16" w15:restartNumberingAfterBreak="0">
    <w:nsid w:val="4C79089F"/>
    <w:multiLevelType w:val="hybridMultilevel"/>
    <w:tmpl w:val="C40CB8F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1531673"/>
    <w:multiLevelType w:val="hybridMultilevel"/>
    <w:tmpl w:val="7B3041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D42B92"/>
    <w:multiLevelType w:val="hybridMultilevel"/>
    <w:tmpl w:val="824653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8F60B9"/>
    <w:multiLevelType w:val="hybridMultilevel"/>
    <w:tmpl w:val="D234D46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07837C3"/>
    <w:multiLevelType w:val="hybridMultilevel"/>
    <w:tmpl w:val="015EE134"/>
    <w:lvl w:ilvl="0" w:tplc="FFFFFFFF">
      <w:start w:val="1"/>
      <w:numFmt w:val="decimal"/>
      <w:lvlText w:val="%1."/>
      <w:lvlJc w:val="left"/>
      <w:pPr>
        <w:ind w:left="1996" w:hanging="360"/>
      </w:pPr>
    </w:lvl>
    <w:lvl w:ilvl="1" w:tplc="3809000F">
      <w:start w:val="1"/>
      <w:numFmt w:val="decimal"/>
      <w:lvlText w:val="%2."/>
      <w:lvlJc w:val="left"/>
      <w:pPr>
        <w:ind w:left="1429"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1" w15:restartNumberingAfterBreak="0">
    <w:nsid w:val="661F7278"/>
    <w:multiLevelType w:val="hybridMultilevel"/>
    <w:tmpl w:val="92263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7615C"/>
    <w:multiLevelType w:val="hybridMultilevel"/>
    <w:tmpl w:val="42D0AB56"/>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3" w15:restartNumberingAfterBreak="0">
    <w:nsid w:val="7E2353FA"/>
    <w:multiLevelType w:val="hybridMultilevel"/>
    <w:tmpl w:val="7B3041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C64022"/>
    <w:multiLevelType w:val="multilevel"/>
    <w:tmpl w:val="518E4622"/>
    <w:lvl w:ilvl="0">
      <w:start w:val="1"/>
      <w:numFmt w:val="decimal"/>
      <w:lvlText w:val="%1."/>
      <w:lvlJc w:val="left"/>
      <w:pPr>
        <w:ind w:left="1800" w:hanging="360"/>
      </w:pPr>
      <w:rPr>
        <w:rFonts w:hint="default"/>
      </w:rPr>
    </w:lvl>
    <w:lvl w:ilvl="1">
      <w:start w:val="6"/>
      <w:numFmt w:val="decimal"/>
      <w:isLgl/>
      <w:lvlText w:val="%1.%2"/>
      <w:lvlJc w:val="left"/>
      <w:pPr>
        <w:ind w:left="1920" w:hanging="480"/>
      </w:pPr>
      <w:rPr>
        <w:rFonts w:hint="default"/>
        <w:b/>
      </w:rPr>
    </w:lvl>
    <w:lvl w:ilvl="2">
      <w:start w:val="2"/>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25" w15:restartNumberingAfterBreak="0">
    <w:nsid w:val="7F8143FF"/>
    <w:multiLevelType w:val="hybridMultilevel"/>
    <w:tmpl w:val="945C3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711200">
    <w:abstractNumId w:val="25"/>
  </w:num>
  <w:num w:numId="2" w16cid:durableId="1291475430">
    <w:abstractNumId w:val="2"/>
  </w:num>
  <w:num w:numId="3" w16cid:durableId="517356092">
    <w:abstractNumId w:val="24"/>
  </w:num>
  <w:num w:numId="4" w16cid:durableId="10187224">
    <w:abstractNumId w:val="11"/>
  </w:num>
  <w:num w:numId="5" w16cid:durableId="98261895">
    <w:abstractNumId w:val="7"/>
  </w:num>
  <w:num w:numId="6" w16cid:durableId="2021272898">
    <w:abstractNumId w:val="13"/>
  </w:num>
  <w:num w:numId="7" w16cid:durableId="1677658275">
    <w:abstractNumId w:val="5"/>
  </w:num>
  <w:num w:numId="8" w16cid:durableId="1046760296">
    <w:abstractNumId w:val="6"/>
  </w:num>
  <w:num w:numId="9" w16cid:durableId="1228803856">
    <w:abstractNumId w:val="10"/>
  </w:num>
  <w:num w:numId="10" w16cid:durableId="264971069">
    <w:abstractNumId w:val="14"/>
  </w:num>
  <w:num w:numId="11" w16cid:durableId="1789395585">
    <w:abstractNumId w:val="12"/>
  </w:num>
  <w:num w:numId="12" w16cid:durableId="1873497839">
    <w:abstractNumId w:val="16"/>
  </w:num>
  <w:num w:numId="13" w16cid:durableId="619335320">
    <w:abstractNumId w:val="17"/>
  </w:num>
  <w:num w:numId="14" w16cid:durableId="388114288">
    <w:abstractNumId w:val="23"/>
  </w:num>
  <w:num w:numId="15" w16cid:durableId="1478721240">
    <w:abstractNumId w:val="4"/>
  </w:num>
  <w:num w:numId="16" w16cid:durableId="336425974">
    <w:abstractNumId w:val="1"/>
  </w:num>
  <w:num w:numId="17" w16cid:durableId="60956105">
    <w:abstractNumId w:val="0"/>
  </w:num>
  <w:num w:numId="18" w16cid:durableId="101656799">
    <w:abstractNumId w:val="22"/>
  </w:num>
  <w:num w:numId="19" w16cid:durableId="819732085">
    <w:abstractNumId w:val="8"/>
  </w:num>
  <w:num w:numId="20" w16cid:durableId="391928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36419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4144897">
    <w:abstractNumId w:val="20"/>
  </w:num>
  <w:num w:numId="23" w16cid:durableId="1151755580">
    <w:abstractNumId w:val="19"/>
  </w:num>
  <w:num w:numId="24" w16cid:durableId="1649632920">
    <w:abstractNumId w:val="18"/>
  </w:num>
  <w:num w:numId="25" w16cid:durableId="16277966">
    <w:abstractNumId w:val="3"/>
  </w:num>
  <w:num w:numId="26" w16cid:durableId="11914569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A05"/>
    <w:rsid w:val="000B7C11"/>
    <w:rsid w:val="00191BD1"/>
    <w:rsid w:val="00343B1E"/>
    <w:rsid w:val="005E0653"/>
    <w:rsid w:val="00776EEA"/>
    <w:rsid w:val="008D2DF3"/>
    <w:rsid w:val="009D6C76"/>
    <w:rsid w:val="00A81100"/>
    <w:rsid w:val="00A9589B"/>
    <w:rsid w:val="00BC4A05"/>
    <w:rsid w:val="00CD77B0"/>
    <w:rsid w:val="00EF54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834B8"/>
  <w15:docId w15:val="{940A91DD-2999-4C1A-98FE-DDDE05DB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05"/>
    <w:pPr>
      <w:spacing w:after="160" w:line="259" w:lineRule="auto"/>
    </w:pPr>
    <w:rPr>
      <w:rFonts w:ascii="Times New Roman" w:hAnsi="Times New Roman"/>
      <w:sz w:val="24"/>
      <w:lang w:val="en-ID"/>
    </w:rPr>
  </w:style>
  <w:style w:type="paragraph" w:styleId="Heading1">
    <w:name w:val="heading 1"/>
    <w:basedOn w:val="Normal"/>
    <w:next w:val="Normal"/>
    <w:link w:val="Heading1Char"/>
    <w:uiPriority w:val="9"/>
    <w:qFormat/>
    <w:rsid w:val="00BC4A05"/>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9D6C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54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6E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A05"/>
    <w:rPr>
      <w:rFonts w:ascii="Times New Roman" w:eastAsiaTheme="majorEastAsia" w:hAnsi="Times New Roman" w:cstheme="majorBidi"/>
      <w:b/>
      <w:color w:val="000000" w:themeColor="text1"/>
      <w:sz w:val="24"/>
      <w:szCs w:val="32"/>
      <w:lang w:val="en-ID"/>
    </w:rPr>
  </w:style>
  <w:style w:type="paragraph" w:styleId="ListParagraph">
    <w:name w:val="List Paragraph"/>
    <w:basedOn w:val="Normal"/>
    <w:uiPriority w:val="34"/>
    <w:qFormat/>
    <w:rsid w:val="00BC4A05"/>
    <w:pPr>
      <w:ind w:left="720"/>
      <w:contextualSpacing/>
    </w:pPr>
  </w:style>
  <w:style w:type="paragraph" w:styleId="Footer">
    <w:name w:val="footer"/>
    <w:basedOn w:val="Normal"/>
    <w:link w:val="FooterChar"/>
    <w:uiPriority w:val="99"/>
    <w:unhideWhenUsed/>
    <w:rsid w:val="00BC4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A05"/>
    <w:rPr>
      <w:rFonts w:ascii="Times New Roman" w:hAnsi="Times New Roman"/>
      <w:sz w:val="24"/>
      <w:lang w:val="en-ID"/>
    </w:rPr>
  </w:style>
  <w:style w:type="table" w:styleId="TableGrid">
    <w:name w:val="Table Grid"/>
    <w:basedOn w:val="TableNormal"/>
    <w:uiPriority w:val="39"/>
    <w:rsid w:val="00BC4A05"/>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A05"/>
    <w:rPr>
      <w:rFonts w:ascii="Tahoma" w:hAnsi="Tahoma" w:cs="Tahoma"/>
      <w:sz w:val="16"/>
      <w:szCs w:val="16"/>
      <w:lang w:val="en-ID"/>
    </w:rPr>
  </w:style>
  <w:style w:type="character" w:styleId="Hyperlink">
    <w:name w:val="Hyperlink"/>
    <w:basedOn w:val="DefaultParagraphFont"/>
    <w:uiPriority w:val="99"/>
    <w:unhideWhenUsed/>
    <w:rsid w:val="00BC4A05"/>
    <w:rPr>
      <w:color w:val="0000FF" w:themeColor="hyperlink"/>
      <w:u w:val="single"/>
    </w:rPr>
  </w:style>
  <w:style w:type="paragraph" w:styleId="TOC1">
    <w:name w:val="toc 1"/>
    <w:basedOn w:val="Normal"/>
    <w:next w:val="Normal"/>
    <w:autoRedefine/>
    <w:uiPriority w:val="39"/>
    <w:unhideWhenUsed/>
    <w:rsid w:val="00BC4A05"/>
    <w:pPr>
      <w:tabs>
        <w:tab w:val="right" w:leader="dot" w:pos="7927"/>
      </w:tabs>
      <w:spacing w:after="100"/>
    </w:pPr>
    <w:rPr>
      <w:rFonts w:cs="Times New Roman"/>
      <w:b/>
      <w:noProof/>
    </w:rPr>
  </w:style>
  <w:style w:type="paragraph" w:styleId="TOC2">
    <w:name w:val="toc 2"/>
    <w:basedOn w:val="Normal"/>
    <w:next w:val="Normal"/>
    <w:autoRedefine/>
    <w:uiPriority w:val="39"/>
    <w:unhideWhenUsed/>
    <w:rsid w:val="00BC4A05"/>
    <w:pPr>
      <w:tabs>
        <w:tab w:val="left" w:pos="990"/>
        <w:tab w:val="right" w:leader="dot" w:pos="7927"/>
      </w:tabs>
      <w:spacing w:after="100"/>
      <w:ind w:left="851"/>
    </w:pPr>
  </w:style>
  <w:style w:type="paragraph" w:styleId="TOC3">
    <w:name w:val="toc 3"/>
    <w:basedOn w:val="Normal"/>
    <w:next w:val="Normal"/>
    <w:autoRedefine/>
    <w:uiPriority w:val="39"/>
    <w:unhideWhenUsed/>
    <w:rsid w:val="00BC4A05"/>
    <w:pPr>
      <w:tabs>
        <w:tab w:val="left" w:pos="1320"/>
        <w:tab w:val="right" w:leader="dot" w:pos="7927"/>
      </w:tabs>
      <w:spacing w:after="100"/>
      <w:ind w:left="1276"/>
    </w:pPr>
  </w:style>
  <w:style w:type="paragraph" w:styleId="TOC4">
    <w:name w:val="toc 4"/>
    <w:basedOn w:val="Normal"/>
    <w:next w:val="Normal"/>
    <w:autoRedefine/>
    <w:uiPriority w:val="39"/>
    <w:unhideWhenUsed/>
    <w:rsid w:val="00BC4A05"/>
    <w:pPr>
      <w:tabs>
        <w:tab w:val="left" w:pos="1760"/>
        <w:tab w:val="right" w:leader="dot" w:pos="7927"/>
      </w:tabs>
      <w:spacing w:after="100"/>
      <w:ind w:left="990"/>
    </w:pPr>
  </w:style>
  <w:style w:type="paragraph" w:styleId="TableofFigures">
    <w:name w:val="table of figures"/>
    <w:basedOn w:val="Normal"/>
    <w:next w:val="Normal"/>
    <w:uiPriority w:val="99"/>
    <w:unhideWhenUsed/>
    <w:rsid w:val="00BC4A05"/>
    <w:pPr>
      <w:spacing w:after="0"/>
    </w:pPr>
  </w:style>
  <w:style w:type="character" w:customStyle="1" w:styleId="Heading2Char">
    <w:name w:val="Heading 2 Char"/>
    <w:basedOn w:val="DefaultParagraphFont"/>
    <w:link w:val="Heading2"/>
    <w:uiPriority w:val="9"/>
    <w:semiHidden/>
    <w:rsid w:val="009D6C76"/>
    <w:rPr>
      <w:rFonts w:asciiTheme="majorHAnsi" w:eastAsiaTheme="majorEastAsia" w:hAnsiTheme="majorHAnsi" w:cstheme="majorBidi"/>
      <w:b/>
      <w:bCs/>
      <w:color w:val="4F81BD" w:themeColor="accent1"/>
      <w:sz w:val="26"/>
      <w:szCs w:val="26"/>
      <w:lang w:val="en-ID"/>
    </w:rPr>
  </w:style>
  <w:style w:type="character" w:customStyle="1" w:styleId="Heading3Char">
    <w:name w:val="Heading 3 Char"/>
    <w:basedOn w:val="DefaultParagraphFont"/>
    <w:link w:val="Heading3"/>
    <w:uiPriority w:val="9"/>
    <w:semiHidden/>
    <w:rsid w:val="00EF540E"/>
    <w:rPr>
      <w:rFonts w:asciiTheme="majorHAnsi" w:eastAsiaTheme="majorEastAsia" w:hAnsiTheme="majorHAnsi" w:cstheme="majorBidi"/>
      <w:b/>
      <w:bCs/>
      <w:color w:val="4F81BD" w:themeColor="accent1"/>
      <w:sz w:val="24"/>
      <w:lang w:val="en-ID"/>
    </w:rPr>
  </w:style>
  <w:style w:type="paragraph" w:styleId="Caption">
    <w:name w:val="caption"/>
    <w:basedOn w:val="Normal"/>
    <w:next w:val="Normal"/>
    <w:uiPriority w:val="35"/>
    <w:unhideWhenUsed/>
    <w:qFormat/>
    <w:rsid w:val="00EF540E"/>
    <w:pPr>
      <w:spacing w:after="200" w:line="240" w:lineRule="auto"/>
    </w:pPr>
    <w:rPr>
      <w:i/>
      <w:iCs/>
      <w:color w:val="1F497D" w:themeColor="text2"/>
      <w:sz w:val="18"/>
      <w:szCs w:val="18"/>
    </w:rPr>
  </w:style>
  <w:style w:type="paragraph" w:styleId="NoSpacing">
    <w:name w:val="No Spacing"/>
    <w:uiPriority w:val="1"/>
    <w:qFormat/>
    <w:rsid w:val="00EF540E"/>
    <w:pPr>
      <w:spacing w:after="0" w:line="240" w:lineRule="auto"/>
    </w:pPr>
    <w:rPr>
      <w:rFonts w:ascii="Times New Roman" w:hAnsi="Times New Roman"/>
      <w:sz w:val="24"/>
      <w:lang w:val="en-ID"/>
    </w:rPr>
  </w:style>
  <w:style w:type="character" w:customStyle="1" w:styleId="Heading4Char">
    <w:name w:val="Heading 4 Char"/>
    <w:basedOn w:val="DefaultParagraphFont"/>
    <w:link w:val="Heading4"/>
    <w:uiPriority w:val="9"/>
    <w:semiHidden/>
    <w:rsid w:val="00776EEA"/>
    <w:rPr>
      <w:rFonts w:asciiTheme="majorHAnsi" w:eastAsiaTheme="majorEastAsia" w:hAnsiTheme="majorHAnsi" w:cstheme="majorBidi"/>
      <w:b/>
      <w:bCs/>
      <w:i/>
      <w:iCs/>
      <w:color w:val="4F81BD" w:themeColor="accent1"/>
      <w:sz w:val="24"/>
      <w:lang w:val="en-ID"/>
    </w:rPr>
  </w:style>
  <w:style w:type="paragraph" w:styleId="Header">
    <w:name w:val="header"/>
    <w:basedOn w:val="Normal"/>
    <w:link w:val="HeaderChar"/>
    <w:uiPriority w:val="99"/>
    <w:unhideWhenUsed/>
    <w:rsid w:val="005E0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653"/>
    <w:rPr>
      <w:rFonts w:ascii="Times New Roman" w:hAnsi="Times New Roman"/>
      <w:sz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5898</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DAFTAR PUSTAKA</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2023-09-06T12:48:00Z</dcterms:created>
  <dcterms:modified xsi:type="dcterms:W3CDTF">2024-01-12T06:20:00Z</dcterms:modified>
</cp:coreProperties>
</file>