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04B1" w14:textId="77777777" w:rsidR="005B60E9" w:rsidRPr="005B60E9" w:rsidRDefault="005B60E9" w:rsidP="005B60E9">
      <w:pPr>
        <w:pStyle w:val="Heading1"/>
        <w:spacing w:after="0"/>
        <w:ind w:left="284"/>
        <w:rPr>
          <w:sz w:val="24"/>
          <w:szCs w:val="24"/>
        </w:rPr>
      </w:pPr>
      <w:bookmarkStart w:id="0" w:name="_Toc179470087"/>
      <w:r w:rsidRPr="005B60E9">
        <w:rPr>
          <w:sz w:val="24"/>
          <w:szCs w:val="24"/>
        </w:rPr>
        <w:t>BAB I</w:t>
      </w:r>
      <w:bookmarkEnd w:id="0"/>
    </w:p>
    <w:p w14:paraId="16A9D711" w14:textId="77777777" w:rsidR="005B60E9" w:rsidRPr="005B60E9" w:rsidRDefault="005B60E9" w:rsidP="005B60E9">
      <w:pPr>
        <w:pStyle w:val="Heading1"/>
        <w:spacing w:after="0"/>
        <w:ind w:left="284"/>
        <w:rPr>
          <w:sz w:val="24"/>
          <w:szCs w:val="24"/>
        </w:rPr>
      </w:pPr>
      <w:bookmarkStart w:id="1" w:name="_Toc179470088"/>
      <w:r w:rsidRPr="005B60E9">
        <w:rPr>
          <w:sz w:val="24"/>
          <w:szCs w:val="24"/>
        </w:rPr>
        <w:t>PENDAHULUAN</w:t>
      </w:r>
      <w:bookmarkEnd w:id="1"/>
    </w:p>
    <w:p w14:paraId="0CAC55B6" w14:textId="77777777" w:rsidR="005B60E9" w:rsidRPr="005B60E9" w:rsidRDefault="005B60E9" w:rsidP="005B60E9">
      <w:pPr>
        <w:pStyle w:val="Heading2"/>
      </w:pPr>
      <w:bookmarkStart w:id="2" w:name="_Toc179470089"/>
      <w:r w:rsidRPr="005B60E9">
        <w:t xml:space="preserve">1.1 Latar </w:t>
      </w:r>
      <w:proofErr w:type="spellStart"/>
      <w:r w:rsidRPr="005B60E9">
        <w:t>Belakang</w:t>
      </w:r>
      <w:bookmarkEnd w:id="2"/>
      <w:proofErr w:type="spellEnd"/>
    </w:p>
    <w:p w14:paraId="4A60D2E0" w14:textId="77777777" w:rsidR="005B60E9" w:rsidRPr="005B60E9" w:rsidRDefault="005B60E9" w:rsidP="005B60E9">
      <w:pPr>
        <w:spacing w:after="0" w:line="360" w:lineRule="auto"/>
        <w:ind w:left="284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PT. Telekomunikasi Indonesia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(Telkom)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bertransformasi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andal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Somu, 2020)</w:t>
      </w:r>
      <w:r w:rsidRPr="005B60E9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strategi Telkom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Telkom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pasar internet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Gomathy, 2022)</w:t>
      </w:r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7F86B835" w14:textId="77777777" w:rsidR="005B60E9" w:rsidRPr="005B60E9" w:rsidRDefault="005B60E9" w:rsidP="005B60E9">
      <w:pPr>
        <w:spacing w:after="0" w:line="360" w:lineRule="auto"/>
        <w:ind w:left="284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optimal. Dalam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work environment, performance appraisal, dan reward system</w:t>
      </w:r>
      <w:r w:rsidRPr="005B60E9">
        <w:rPr>
          <w:rFonts w:ascii="Times New Roman" w:hAnsi="Times New Roman" w:cs="Times New Roman"/>
          <w:sz w:val="24"/>
          <w:szCs w:val="24"/>
        </w:rPr>
        <w:t xml:space="preserve"> di PT. Telkom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fondasi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bersaingnya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Alfaresi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Hurairah,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Barlian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Noverianty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>, 2020)</w:t>
      </w:r>
    </w:p>
    <w:p w14:paraId="6E55CB7A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B60E9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 xml:space="preserve">work environment, performance appraisal, dan reward system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PT. Telkom.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Chandra, Anugrah,  &amp; 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Setyoko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 2013).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reward system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PT. Telkom.</w:t>
      </w:r>
    </w:p>
    <w:p w14:paraId="6C6BFBD5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PT. Telkom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sorotan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Moulana, 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Sunuharyo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&amp; Utami, 2017). </w:t>
      </w:r>
    </w:p>
    <w:p w14:paraId="05A9059B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color w:val="374151"/>
          <w:sz w:val="24"/>
          <w:szCs w:val="24"/>
        </w:rPr>
        <w:tab/>
      </w:r>
      <w:r w:rsidRPr="005B60E9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karawyan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Anggapraja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2016)</w:t>
      </w:r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lastRenderedPageBreak/>
        <w:t>mendorong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optimal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PT. Telkom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Octavianus, 2018</w:t>
      </w:r>
      <w:proofErr w:type="gram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Pr="005B60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048BC16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menitik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Damayanti, 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Rimadias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Haque, 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Sunarsi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Kosasih, &amp; 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Kesumadewi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2021).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ergonomis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rekreasi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dijunjung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Faktor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Arwin, Yuliana, &amp; Elika, 2021).</w:t>
      </w:r>
    </w:p>
    <w:p w14:paraId="41647B59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sz w:val="24"/>
          <w:szCs w:val="24"/>
        </w:rPr>
        <w:t xml:space="preserve"> di PT. Telkom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antarindividu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Tim yang solid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Adanya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PT. Telkom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Kurniawan,  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Nurmaya</w:t>
      </w:r>
      <w:proofErr w:type="spellEnd"/>
      <w:proofErr w:type="gram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&amp; Hidayat, 2022).</w:t>
      </w:r>
    </w:p>
    <w:p w14:paraId="46DCD9A0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lastRenderedPageBreak/>
        <w:t>bukan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area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Levy, &amp; Williams, 2004).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B63A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</w:rPr>
        <w:t xml:space="preserve">, PT. Telkom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</w:rPr>
        <w:t xml:space="preserve"> di PT. Telkom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Wijaya &amp; Kartini, 2022).</w:t>
      </w:r>
    </w:p>
    <w:p w14:paraId="077CA684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Reward system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Sejati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2017). 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berdedikasi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lastRenderedPageBreak/>
        <w:t>memacu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Gunawan, 2020). </w:t>
      </w:r>
    </w:p>
    <w:p w14:paraId="540CC874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Reward system</w:t>
      </w:r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solid.</w:t>
      </w:r>
      <w:r w:rsidRPr="005B60E9">
        <w:rPr>
          <w:rFonts w:ascii="Times New Roman" w:hAnsi="Times New Roman" w:cs="Times New Roman"/>
          <w:color w:val="374151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Pratama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2020)</w:t>
      </w:r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0972F451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antar-karyawan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Ahmad, 2019)</w:t>
      </w:r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1A1389AA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Denisi, 2017)</w:t>
      </w:r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7A95081C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r w:rsidRPr="005B60E9">
        <w:rPr>
          <w:rFonts w:ascii="Times New Roman" w:hAnsi="Times New Roman" w:cs="Times New Roman"/>
          <w:i/>
          <w:iCs/>
          <w:sz w:val="24"/>
          <w:szCs w:val="24"/>
        </w:rPr>
        <w:t>Reward system</w:t>
      </w:r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bonus,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Baik, 2020)</w:t>
      </w:r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426513B5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  <w:t xml:space="preserve">Kinerja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target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Lestary</w:t>
      </w:r>
      <w:proofErr w:type="spellEnd"/>
      <w:r w:rsidRPr="005B60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2017)</w:t>
      </w:r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3AB1D235" w14:textId="77777777" w:rsidR="005B60E9" w:rsidRPr="005B60E9" w:rsidRDefault="005B60E9" w:rsidP="005B60E9">
      <w:pPr>
        <w:pStyle w:val="ListParagraph"/>
        <w:tabs>
          <w:tab w:val="left" w:pos="1276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ab/>
      </w:r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Gap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penelitian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tentang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pengaruh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work environment</w:t>
      </w:r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kinerja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karyawan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dapat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dikaji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fokus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aspek-aspek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non-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fisik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seperti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budaya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iklim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hubungan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antar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karyawan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Penelitian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dapat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dilakukan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mengkaji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pengaruh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aspek-aspek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tersebut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kinerja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karyawan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pada PT. Telkom di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(Heri &amp;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Sulistyo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2021</w:t>
      </w:r>
      <w:r w:rsidRPr="005B60E9">
        <w:rPr>
          <w:rFonts w:ascii="Times New Roman" w:hAnsi="Times New Roman" w:cs="Times New Roman"/>
          <w:color w:val="1F1F1F"/>
          <w:sz w:val="24"/>
          <w:szCs w:val="24"/>
        </w:rPr>
        <w:t xml:space="preserve">). </w:t>
      </w:r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Pada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umumnya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penelitian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tentang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pengaruh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work environment</w:t>
      </w:r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kinerja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karyawan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hanya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berfokus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aspek-aspek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fisik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dari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work environment</w:t>
      </w:r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seperti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fasilitas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kondisi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lingkungan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keamanan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Padahal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aspek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non-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fisik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dari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work environment</w:t>
      </w:r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juga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dapat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berpengaruh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kinerja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karyawan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seperti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budaya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iklim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kerja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hubungan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antar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karyawan</w:t>
      </w:r>
      <w:proofErr w:type="spellEnd"/>
      <w:r w:rsidRPr="005B60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(</w:t>
      </w:r>
      <w:r w:rsidRPr="005B60E9">
        <w:rPr>
          <w:rFonts w:ascii="Times New Roman" w:hAnsi="Times New Roman" w:cs="Times New Roman"/>
          <w:color w:val="1F1F1F"/>
          <w:sz w:val="24"/>
          <w:szCs w:val="24"/>
        </w:rPr>
        <w:t>Jusuf dan Raisa, 2020).</w:t>
      </w:r>
    </w:p>
    <w:p w14:paraId="52DA11B8" w14:textId="77777777" w:rsidR="005B60E9" w:rsidRPr="005B60E9" w:rsidRDefault="005B60E9" w:rsidP="005B60E9">
      <w:pPr>
        <w:pStyle w:val="ListParagraph"/>
        <w:spacing w:after="0" w:line="36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 xml:space="preserve"> work environment, performance appraisal, </w:t>
      </w:r>
      <w:proofErr w:type="gramStart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dan  reward</w:t>
      </w:r>
      <w:proofErr w:type="gramEnd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 xml:space="preserve"> system</w:t>
      </w:r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Kinerja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</w:p>
    <w:p w14:paraId="12E6B137" w14:textId="77777777" w:rsidR="005B60E9" w:rsidRPr="005B60E9" w:rsidRDefault="005B60E9" w:rsidP="005B60E9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>’’</w:t>
      </w:r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Pengaruh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 xml:space="preserve">work environment, performance appraisal, </w:t>
      </w:r>
      <w:proofErr w:type="gramStart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dan  reward</w:t>
      </w:r>
      <w:proofErr w:type="gramEnd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 xml:space="preserve"> system</w:t>
      </w:r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Kinerja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pada PT. Telkom di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>’’.</w:t>
      </w:r>
    </w:p>
    <w:p w14:paraId="372937A3" w14:textId="77777777" w:rsidR="005B60E9" w:rsidRPr="005B60E9" w:rsidRDefault="005B60E9" w:rsidP="005B60E9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F0F0F"/>
          <w:sz w:val="24"/>
          <w:szCs w:val="24"/>
        </w:rPr>
      </w:pPr>
      <w:r w:rsidRPr="005B60E9">
        <w:rPr>
          <w:rFonts w:ascii="Times New Roman" w:hAnsi="Times New Roman" w:cs="Times New Roman"/>
          <w:b/>
          <w:bCs/>
          <w:color w:val="0F0F0F"/>
          <w:sz w:val="24"/>
          <w:szCs w:val="24"/>
        </w:rPr>
        <w:t xml:space="preserve">1.2 Batasan </w:t>
      </w:r>
      <w:proofErr w:type="spellStart"/>
      <w:r w:rsidRPr="005B60E9">
        <w:rPr>
          <w:rFonts w:ascii="Times New Roman" w:hAnsi="Times New Roman" w:cs="Times New Roman"/>
          <w:b/>
          <w:bCs/>
          <w:color w:val="0F0F0F"/>
          <w:sz w:val="24"/>
          <w:szCs w:val="24"/>
        </w:rPr>
        <w:t>Masalah</w:t>
      </w:r>
      <w:proofErr w:type="spellEnd"/>
    </w:p>
    <w:p w14:paraId="43484BF2" w14:textId="77777777" w:rsidR="005B60E9" w:rsidRPr="005B60E9" w:rsidRDefault="005B60E9" w:rsidP="005B60E9">
      <w:pPr>
        <w:pStyle w:val="ListParagraph"/>
        <w:spacing w:after="0" w:line="360" w:lineRule="auto"/>
        <w:ind w:left="284" w:firstLine="589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merujuk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kepada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paparan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telah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diuraikan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dilatar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belakang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penelitian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akan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mengulas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mengenai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Pengaruh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 xml:space="preserve">work environment, performance appraisal, </w:t>
      </w:r>
      <w:proofErr w:type="gramStart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dan  reward</w:t>
      </w:r>
      <w:proofErr w:type="gramEnd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 xml:space="preserve"> system</w:t>
      </w:r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terhadap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Kinerja </w:t>
      </w:r>
      <w:proofErr w:type="spellStart"/>
      <w:r w:rsidRPr="005B60E9">
        <w:rPr>
          <w:rFonts w:ascii="Times New Roman" w:hAnsi="Times New Roman" w:cs="Times New Roman"/>
          <w:color w:val="0F0F0F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 pada PT. Telkom di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</w:p>
    <w:p w14:paraId="479653B0" w14:textId="77777777" w:rsidR="005B60E9" w:rsidRPr="005B60E9" w:rsidRDefault="005B60E9" w:rsidP="005B60E9">
      <w:pPr>
        <w:pStyle w:val="Heading2"/>
      </w:pPr>
      <w:bookmarkStart w:id="3" w:name="_Toc179470090"/>
      <w:r w:rsidRPr="005B60E9">
        <w:t xml:space="preserve">1.3 </w:t>
      </w:r>
      <w:proofErr w:type="spellStart"/>
      <w:r w:rsidRPr="005B60E9">
        <w:t>Perumusan</w:t>
      </w:r>
      <w:proofErr w:type="spellEnd"/>
      <w:r w:rsidRPr="005B60E9">
        <w:t xml:space="preserve"> </w:t>
      </w:r>
      <w:proofErr w:type="spellStart"/>
      <w:r w:rsidRPr="005B60E9">
        <w:t>Masalah</w:t>
      </w:r>
      <w:bookmarkEnd w:id="3"/>
      <w:proofErr w:type="spellEnd"/>
      <w:r w:rsidRPr="005B60E9">
        <w:tab/>
      </w:r>
      <w:r w:rsidRPr="005B60E9">
        <w:tab/>
      </w:r>
    </w:p>
    <w:p w14:paraId="6D15596E" w14:textId="77777777" w:rsidR="005B60E9" w:rsidRPr="005B60E9" w:rsidRDefault="005B60E9" w:rsidP="005B60E9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151382847"/>
      <w:bookmarkStart w:id="5" w:name="_Toc151382898"/>
      <w:bookmarkStart w:id="6" w:name="_Toc151383319"/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6714D0A3" w14:textId="77777777" w:rsidR="005B60E9" w:rsidRPr="005B60E9" w:rsidRDefault="005B60E9" w:rsidP="005B60E9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494EAD6" w14:textId="77777777" w:rsidR="005B60E9" w:rsidRPr="005B60E9" w:rsidRDefault="005B60E9" w:rsidP="005B60E9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 xml:space="preserve"> Reward System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6385F000" w14:textId="23B2F215" w:rsidR="005B60E9" w:rsidRPr="005B60E9" w:rsidRDefault="005B60E9" w:rsidP="005B60E9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lastRenderedPageBreak/>
        <w:t>Pengaruh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dan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Reward System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60E9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proofErr w:type="gram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4551468" w14:textId="77777777" w:rsidR="005B60E9" w:rsidRPr="005B60E9" w:rsidRDefault="005B60E9" w:rsidP="005B60E9">
      <w:pPr>
        <w:pStyle w:val="Heading2"/>
      </w:pPr>
      <w:bookmarkStart w:id="7" w:name="_Toc179470091"/>
      <w:r w:rsidRPr="005B60E9">
        <w:t>1.4 Tujuan</w:t>
      </w:r>
      <w:bookmarkEnd w:id="7"/>
      <w:r w:rsidRPr="005B60E9">
        <w:t xml:space="preserve"> </w:t>
      </w:r>
      <w:bookmarkEnd w:id="4"/>
      <w:bookmarkEnd w:id="5"/>
      <w:bookmarkEnd w:id="6"/>
    </w:p>
    <w:p w14:paraId="6EFCAA67" w14:textId="77777777" w:rsidR="005B60E9" w:rsidRPr="005B60E9" w:rsidRDefault="005B60E9" w:rsidP="005B60E9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6E221C57" w14:textId="77777777" w:rsidR="005B60E9" w:rsidRPr="005B60E9" w:rsidRDefault="005B60E9" w:rsidP="005B60E9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2DA6173D" w14:textId="77777777" w:rsidR="005B60E9" w:rsidRPr="005B60E9" w:rsidRDefault="005B60E9" w:rsidP="005B60E9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Reward System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57D64CB6" w14:textId="77777777" w:rsidR="005B60E9" w:rsidRPr="005B60E9" w:rsidRDefault="005B60E9" w:rsidP="005B60E9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work environment</w:t>
      </w:r>
      <w:r w:rsidRPr="005B60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performance appraisal</w:t>
      </w:r>
      <w:r w:rsidRPr="005B60E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dan </w:t>
      </w:r>
      <w:r w:rsidRPr="005B60E9">
        <w:rPr>
          <w:rFonts w:ascii="Times New Roman" w:hAnsi="Times New Roman" w:cs="Times New Roman"/>
          <w:i/>
          <w:iCs/>
          <w:color w:val="0F0F0F"/>
          <w:sz w:val="24"/>
          <w:szCs w:val="24"/>
        </w:rPr>
        <w:t>Reward System</w:t>
      </w:r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B60E9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proofErr w:type="gram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5B60E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5349BBE1" w14:textId="77777777" w:rsidR="005B60E9" w:rsidRPr="005B60E9" w:rsidRDefault="005B60E9" w:rsidP="005B60E9">
      <w:pPr>
        <w:pStyle w:val="Heading2"/>
      </w:pPr>
      <w:bookmarkStart w:id="8" w:name="_Toc179470092"/>
      <w:r w:rsidRPr="005B60E9">
        <w:t xml:space="preserve">1.5 </w:t>
      </w:r>
      <w:bookmarkStart w:id="9" w:name="_Toc162345304"/>
      <w:r w:rsidRPr="005B60E9">
        <w:t>Manfaat</w:t>
      </w:r>
      <w:bookmarkEnd w:id="8"/>
      <w:bookmarkEnd w:id="9"/>
    </w:p>
    <w:p w14:paraId="4EB997CE" w14:textId="77777777" w:rsidR="005B60E9" w:rsidRPr="005B60E9" w:rsidRDefault="005B60E9" w:rsidP="005B60E9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41019759" w14:textId="77777777" w:rsidR="005B60E9" w:rsidRPr="005B60E9" w:rsidRDefault="005B60E9" w:rsidP="005B60E9">
      <w:pPr>
        <w:pStyle w:val="ListParagraph"/>
        <w:spacing w:after="0" w:line="360" w:lineRule="auto"/>
        <w:ind w:left="567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color w:val="0F0F0F"/>
          <w:sz w:val="24"/>
          <w:szCs w:val="24"/>
        </w:rPr>
        <w:t xml:space="preserve">PT. Telkom di Cabang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60E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5B60E9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7517FF2E" w14:textId="77777777" w:rsidR="005B60E9" w:rsidRPr="005B60E9" w:rsidRDefault="005B60E9" w:rsidP="005B60E9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r w:rsidRPr="005B60E9">
        <w:rPr>
          <w:rFonts w:ascii="Times New Roman" w:hAnsi="Times New Roman" w:cs="Times New Roman"/>
          <w:color w:val="0F0F0F"/>
          <w:sz w:val="24"/>
          <w:szCs w:val="24"/>
        </w:rPr>
        <w:t>PT. Telkom</w:t>
      </w:r>
    </w:p>
    <w:p w14:paraId="34A57D59" w14:textId="77777777" w:rsidR="005B60E9" w:rsidRPr="005B60E9" w:rsidRDefault="005B60E9" w:rsidP="005B60E9">
      <w:pPr>
        <w:pStyle w:val="ListParagraph"/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PT. Telkom Indonesia,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oleh Telkom juga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digital dan internet,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Telkom sangat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(CSR), Telkom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Telkom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4BC6A010" w14:textId="77777777" w:rsidR="005B60E9" w:rsidRPr="005B60E9" w:rsidRDefault="005B60E9" w:rsidP="005B60E9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lastRenderedPageBreak/>
        <w:t xml:space="preserve">Manfaat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Empiris</w:t>
      </w:r>
      <w:proofErr w:type="spellEnd"/>
    </w:p>
    <w:p w14:paraId="1DF772C3" w14:textId="77777777" w:rsidR="005B60E9" w:rsidRPr="005B60E9" w:rsidRDefault="005B60E9" w:rsidP="005B60E9">
      <w:pPr>
        <w:pStyle w:val="ListParagraph"/>
        <w:spacing w:after="0" w:line="360" w:lineRule="auto"/>
        <w:ind w:left="567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B60E9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parafrase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yang kaya dan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orisinal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E9">
        <w:rPr>
          <w:rFonts w:ascii="Times New Roman" w:hAnsi="Times New Roman" w:cs="Times New Roman"/>
          <w:sz w:val="24"/>
          <w:szCs w:val="24"/>
        </w:rPr>
        <w:t>plagiarisme</w:t>
      </w:r>
      <w:proofErr w:type="spellEnd"/>
      <w:r w:rsidRPr="005B60E9">
        <w:rPr>
          <w:rFonts w:ascii="Times New Roman" w:hAnsi="Times New Roman" w:cs="Times New Roman"/>
          <w:sz w:val="24"/>
          <w:szCs w:val="24"/>
        </w:rPr>
        <w:t>.</w:t>
      </w:r>
    </w:p>
    <w:p w14:paraId="38FA5A5D" w14:textId="77777777" w:rsidR="0005377D" w:rsidRPr="005B60E9" w:rsidRDefault="0005377D" w:rsidP="005B60E9">
      <w:pPr>
        <w:spacing w:after="0" w:line="360" w:lineRule="auto"/>
        <w:ind w:left="284"/>
        <w:rPr>
          <w:sz w:val="24"/>
          <w:szCs w:val="24"/>
        </w:rPr>
      </w:pPr>
    </w:p>
    <w:sectPr w:rsidR="0005377D" w:rsidRPr="005B60E9" w:rsidSect="005B6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195F" w14:textId="77777777" w:rsidR="005E7E30" w:rsidRDefault="005E7E30" w:rsidP="00B31B6B">
      <w:pPr>
        <w:spacing w:after="0" w:line="240" w:lineRule="auto"/>
      </w:pPr>
      <w:r>
        <w:separator/>
      </w:r>
    </w:p>
  </w:endnote>
  <w:endnote w:type="continuationSeparator" w:id="0">
    <w:p w14:paraId="16CE3816" w14:textId="77777777" w:rsidR="005E7E30" w:rsidRDefault="005E7E30" w:rsidP="00B3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BF28E" w14:textId="77777777" w:rsidR="00B31B6B" w:rsidRDefault="00B31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CE67" w14:textId="77777777" w:rsidR="00B31B6B" w:rsidRDefault="00B31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24AA" w14:textId="77777777" w:rsidR="00B31B6B" w:rsidRDefault="00B31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49517" w14:textId="77777777" w:rsidR="005E7E30" w:rsidRDefault="005E7E30" w:rsidP="00B31B6B">
      <w:pPr>
        <w:spacing w:after="0" w:line="240" w:lineRule="auto"/>
      </w:pPr>
      <w:r>
        <w:separator/>
      </w:r>
    </w:p>
  </w:footnote>
  <w:footnote w:type="continuationSeparator" w:id="0">
    <w:p w14:paraId="4AEECCE7" w14:textId="77777777" w:rsidR="005E7E30" w:rsidRDefault="005E7E30" w:rsidP="00B3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3521" w14:textId="04056861" w:rsidR="00B31B6B" w:rsidRDefault="00B31B6B">
    <w:pPr>
      <w:pStyle w:val="Header"/>
    </w:pPr>
    <w:r>
      <w:rPr>
        <w:noProof/>
      </w:rPr>
      <w:pict w14:anchorId="5E81F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47331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DFE6" w14:textId="3AD98ABA" w:rsidR="00B31B6B" w:rsidRDefault="00B31B6B">
    <w:pPr>
      <w:pStyle w:val="Header"/>
    </w:pPr>
    <w:r>
      <w:rPr>
        <w:noProof/>
      </w:rPr>
      <w:pict w14:anchorId="46ABC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473314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107F" w14:textId="720CFA2D" w:rsidR="00B31B6B" w:rsidRDefault="00B31B6B">
    <w:pPr>
      <w:pStyle w:val="Header"/>
    </w:pPr>
    <w:r>
      <w:rPr>
        <w:noProof/>
      </w:rPr>
      <w:pict w14:anchorId="76E68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47331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A4ECF"/>
    <w:multiLevelType w:val="multilevel"/>
    <w:tmpl w:val="FD3A54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3F556074"/>
    <w:multiLevelType w:val="multilevel"/>
    <w:tmpl w:val="75B412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428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2" w15:restartNumberingAfterBreak="0">
    <w:nsid w:val="66B869AF"/>
    <w:multiLevelType w:val="multilevel"/>
    <w:tmpl w:val="588C6B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925386256">
    <w:abstractNumId w:val="2"/>
  </w:num>
  <w:num w:numId="2" w16cid:durableId="101804732">
    <w:abstractNumId w:val="0"/>
  </w:num>
  <w:num w:numId="3" w16cid:durableId="27382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43eqjwZgBqpwsKLAA9O6si9rqV2/IdP+noxYiwYQNxJ8mSGmuMQ9MX8+tGrM2/b5Solg0FqgvXUP6R/+XCxQ==" w:salt="RziUWIZxRAzm7VHHmqcIX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E9"/>
    <w:rsid w:val="0005377D"/>
    <w:rsid w:val="003A21CA"/>
    <w:rsid w:val="005B60E9"/>
    <w:rsid w:val="005E7E30"/>
    <w:rsid w:val="00B31B6B"/>
    <w:rsid w:val="00D67903"/>
    <w:rsid w:val="00E00E0C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5AAEC"/>
  <w15:chartTrackingRefBased/>
  <w15:docId w15:val="{E76C9DBF-7895-4E67-9A89-2A86C57C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60E9"/>
    <w:rPr>
      <w:rFonts w:eastAsiaTheme="minorHAnsi" w:cs="Mangal"/>
      <w:szCs w:val="20"/>
      <w:lang w:eastAsia="en-US" w:bidi="hi-IN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5B60E9"/>
    <w:pPr>
      <w:spacing w:line="360" w:lineRule="auto"/>
      <w:ind w:left="0"/>
      <w:jc w:val="center"/>
      <w:outlineLvl w:val="0"/>
    </w:pPr>
    <w:rPr>
      <w:rFonts w:ascii="Times New Roman" w:hAnsi="Times New Roman" w:cs="Times New Roman"/>
      <w:b/>
      <w:bCs/>
      <w:sz w:val="36"/>
      <w:szCs w:val="36"/>
      <w:shd w:val="clear" w:color="auto" w:fill="FFFFFF"/>
      <w:lang w:val="en-US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5B60E9"/>
    <w:pPr>
      <w:spacing w:before="120" w:after="0" w:line="360" w:lineRule="auto"/>
      <w:ind w:left="284" w:hanging="284"/>
      <w:outlineLvl w:val="1"/>
    </w:pPr>
    <w:rPr>
      <w:rFonts w:ascii="Times New Roman" w:hAnsi="Times New Roman" w:cs="Times New Roman"/>
      <w:b/>
      <w:color w:val="00000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B60E9"/>
    <w:pPr>
      <w:keepNext/>
      <w:keepLines/>
      <w:numPr>
        <w:ilvl w:val="2"/>
        <w:numId w:val="3"/>
      </w:numPr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E9"/>
    <w:rPr>
      <w:rFonts w:ascii="Times New Roman" w:eastAsiaTheme="minorHAnsi" w:hAnsi="Times New Roman" w:cs="Times New Roman"/>
      <w:b/>
      <w:bCs/>
      <w:sz w:val="36"/>
      <w:szCs w:val="36"/>
      <w:lang w:val="en-US" w:eastAsia="en-US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B60E9"/>
    <w:rPr>
      <w:rFonts w:ascii="Times New Roman" w:eastAsiaTheme="minorHAnsi" w:hAnsi="Times New Roman" w:cs="Times New Roman"/>
      <w:b/>
      <w:color w:val="000000" w:themeColor="text1"/>
      <w:sz w:val="24"/>
      <w:szCs w:val="24"/>
      <w:lang w:val="en-US" w:eastAsia="en-US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5B60E9"/>
    <w:rPr>
      <w:rFonts w:ascii="Times New Roman" w:eastAsiaTheme="majorEastAsia" w:hAnsi="Times New Roman" w:cstheme="majorBidi"/>
      <w:b/>
      <w:color w:val="000000" w:themeColor="text1"/>
      <w:sz w:val="24"/>
      <w:szCs w:val="21"/>
      <w:lang w:eastAsia="en-US" w:bidi="hi-IN"/>
    </w:rPr>
  </w:style>
  <w:style w:type="paragraph" w:styleId="ListParagraph">
    <w:name w:val="List Paragraph"/>
    <w:aliases w:val="kepala,Nomor,UGEX'Z,Body of text,KhusBay,skripsi,Body Text Char1,Char Char2,List Paragraph2,List Paragraph1,Title Proposal,skirpsi,list paragraph,Colorful List - Accent 11,spasi 2 taiiii,sub de titre 4,ANNEX,SUB BAB2,TABEL,Char Char21"/>
    <w:basedOn w:val="Normal"/>
    <w:link w:val="ListParagraphChar"/>
    <w:uiPriority w:val="34"/>
    <w:qFormat/>
    <w:rsid w:val="005B60E9"/>
    <w:pPr>
      <w:ind w:left="720"/>
      <w:contextualSpacing/>
    </w:pPr>
  </w:style>
  <w:style w:type="character" w:customStyle="1" w:styleId="ListParagraphChar">
    <w:name w:val="List Paragraph Char"/>
    <w:aliases w:val="kepala Char,Nomor Char,UGEX'Z Char,Body of text Char,KhusBay Char,skripsi Char,Body Text Char1 Char,Char Char2 Char,List Paragraph2 Char,List Paragraph1 Char,Title Proposal Char,skirpsi Char,list paragraph Char,spasi 2 taiiii Char"/>
    <w:link w:val="ListParagraph"/>
    <w:uiPriority w:val="34"/>
    <w:qFormat/>
    <w:rsid w:val="005B60E9"/>
    <w:rPr>
      <w:rFonts w:eastAsiaTheme="minorHAnsi" w:cs="Mangal"/>
      <w:szCs w:val="20"/>
      <w:lang w:eastAsia="en-US" w:bidi="hi-IN"/>
    </w:rPr>
  </w:style>
  <w:style w:type="paragraph" w:styleId="Header">
    <w:name w:val="header"/>
    <w:basedOn w:val="Normal"/>
    <w:link w:val="HeaderChar"/>
    <w:uiPriority w:val="99"/>
    <w:unhideWhenUsed/>
    <w:rsid w:val="00B3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B6B"/>
    <w:rPr>
      <w:rFonts w:eastAsiaTheme="minorHAnsi" w:cs="Mangal"/>
      <w:szCs w:val="20"/>
      <w:lang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B31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B6B"/>
    <w:rPr>
      <w:rFonts w:eastAsiaTheme="minorHAnsi" w:cs="Mangal"/>
      <w:szCs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2</cp:revision>
  <dcterms:created xsi:type="dcterms:W3CDTF">2024-12-11T07:40:00Z</dcterms:created>
  <dcterms:modified xsi:type="dcterms:W3CDTF">2025-01-06T02:28:00Z</dcterms:modified>
</cp:coreProperties>
</file>