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5E05" w14:textId="77777777" w:rsidR="00D91A46" w:rsidRPr="00CE6BD3" w:rsidRDefault="00D91A46" w:rsidP="00D91A46">
      <w:pPr>
        <w:pStyle w:val="Heading1"/>
        <w:jc w:val="center"/>
      </w:pPr>
      <w:bookmarkStart w:id="0" w:name="_Toc136359827"/>
      <w:bookmarkStart w:id="1" w:name="_Toc136452158"/>
      <w:r w:rsidRPr="00CE6BD3">
        <w:t>BAB I</w:t>
      </w:r>
      <w:bookmarkEnd w:id="0"/>
      <w:bookmarkEnd w:id="1"/>
    </w:p>
    <w:p w14:paraId="2848AEB9" w14:textId="4B2DCF6A" w:rsidR="00D91A46" w:rsidRPr="00F50467" w:rsidRDefault="00D91A46" w:rsidP="00D91A46">
      <w:pPr>
        <w:pStyle w:val="Heading1"/>
        <w:jc w:val="center"/>
      </w:pPr>
      <w:bookmarkStart w:id="2" w:name="_Toc136359828"/>
      <w:bookmarkStart w:id="3" w:name="_Toc136452159"/>
      <w:r w:rsidRPr="00CE6BD3">
        <w:t>PENDAHULUAN</w:t>
      </w:r>
      <w:bookmarkStart w:id="4" w:name="_Toc136359829"/>
      <w:bookmarkStart w:id="5" w:name="_Toc136452160"/>
      <w:bookmarkEnd w:id="2"/>
      <w:bookmarkEnd w:id="3"/>
    </w:p>
    <w:p w14:paraId="0763BEEF" w14:textId="77777777" w:rsidR="00D91A46" w:rsidRPr="00CE6BD3" w:rsidRDefault="00D91A46" w:rsidP="00D91A46">
      <w:pPr>
        <w:pStyle w:val="Heading1"/>
        <w:numPr>
          <w:ilvl w:val="1"/>
          <w:numId w:val="7"/>
        </w:numPr>
        <w:tabs>
          <w:tab w:val="left" w:pos="-284"/>
          <w:tab w:val="left" w:pos="-142"/>
          <w:tab w:val="num" w:pos="360"/>
        </w:tabs>
        <w:ind w:left="0" w:hanging="426"/>
      </w:pPr>
      <w:r>
        <w:rPr>
          <w:lang w:val="en-US"/>
        </w:rPr>
        <w:t>Latar Belakan</w:t>
      </w:r>
      <w:bookmarkEnd w:id="4"/>
      <w:bookmarkEnd w:id="5"/>
      <w:r>
        <w:rPr>
          <w:lang w:val="en-US"/>
        </w:rPr>
        <w:t>g</w:t>
      </w:r>
    </w:p>
    <w:p w14:paraId="18A0947E" w14:textId="77777777" w:rsidR="00D91A46" w:rsidRPr="00422466" w:rsidRDefault="00D91A46" w:rsidP="00D91A46">
      <w:pPr>
        <w:ind w:firstLine="284"/>
        <w:rPr>
          <w:rStyle w:val="selectable-text"/>
          <w:u w:val="single"/>
          <w:lang w:val="en-US"/>
        </w:rPr>
      </w:pPr>
      <w:r w:rsidRPr="00CE6BD3">
        <w:rPr>
          <w:rStyle w:val="selectable-text"/>
        </w:rPr>
        <w:t xml:space="preserve">Menurut </w:t>
      </w:r>
      <w:r w:rsidRPr="00CE6BD3">
        <w:rPr>
          <w:rStyle w:val="selectable-text"/>
        </w:rPr>
        <w:fldChar w:fldCharType="begin" w:fldLock="1"/>
      </w:r>
      <w:r>
        <w:rPr>
          <w:rStyle w:val="selectable-text"/>
        </w:rPr>
        <w:instrText>ADDIN CSL_CITATION {"citationItems":[{"id":"ITEM-1","itemData":{"DOI":"https://www.cnbcindonesia.com/syariah/20190608180708-29-77170/5-tahun-rerata-pertumbuhan-industri-perbankan-syariah-15","URL":"https://www.cnbcindonesia.com/syariah/20190608180708-29-77170/5-tahun-rerata-pertumbuhan-industri-perbankan-syariah-15","author":[{"dropping-particle":"","family":"Rahajeng Kusumo Hastuti","given":"","non-dropping-particle":"","parse-names":false,"suffix":""}],"container-title":"CNN Indonesia","id":"ITEM-1","issued":{"date-parts":[["2019"]]},"page":"5","title":"5 Tahun Rerata Pertumbuhan Industri Perbankan Syariah 15%","type":"webpage"},"uris":["http://www.mendeley.com/documents/?uuid=c4ba9ca7-970e-4049-bd6e-8589533aba68"]}],"mendeley":{"formattedCitation":"(Rahajeng Kusumo Hastuti, 2019)","plainTextFormattedCitation":"(Rahajeng Kusumo Hastuti, 2019)","previouslyFormattedCitation":"(Rahajeng Kusumo Hastuti, 2019)"},"properties":{"noteIndex":0},"schema":"https://github.com/citation-style-language/schema/raw/master/csl-citation.json"}</w:instrText>
      </w:r>
      <w:r w:rsidRPr="00CE6BD3">
        <w:rPr>
          <w:rStyle w:val="selectable-text"/>
        </w:rPr>
        <w:fldChar w:fldCharType="separate"/>
      </w:r>
      <w:r w:rsidRPr="00CE6BD3">
        <w:rPr>
          <w:rStyle w:val="selectable-text"/>
        </w:rPr>
        <w:t>(Rahajeng Kusumo Hastuti, 2019)</w:t>
      </w:r>
      <w:r w:rsidRPr="00CE6BD3">
        <w:rPr>
          <w:rStyle w:val="selectable-text"/>
        </w:rPr>
        <w:fldChar w:fldCharType="end"/>
      </w:r>
      <w:r w:rsidRPr="00CE6BD3">
        <w:rPr>
          <w:rStyle w:val="selectable-text"/>
        </w:rPr>
        <w:t xml:space="preserve"> Pajak dapat dijadikan sebagai instrumen dalam membuat di season maker </w:t>
      </w:r>
      <w:r w:rsidRPr="00CE6BD3">
        <w:rPr>
          <w:rStyle w:val="selectable-text"/>
          <w:lang w:val="en-US"/>
        </w:rPr>
        <w:t>dalam menentukan modal dimaksudnya hal ini berhubungan dengan tarif pajak yang akan dipungut oleh negara. Dalam siklus ekonomi jika tarif bunga dapat mempengaruhi profit suatu perusahaan sehingga pada akhirnya dapat menaikan atau menurunkan profitabilitas apabila rate pajak dipungut lebih tinggi maka akan berdampak kepada pengusaha untuk lebih menggunakan</w:t>
      </w:r>
      <w:r>
        <w:rPr>
          <w:rStyle w:val="selectable-text"/>
          <w:lang w:val="en-US"/>
        </w:rPr>
        <w:t xml:space="preserve"> h</w:t>
      </w:r>
      <w:r>
        <w:rPr>
          <w:rStyle w:val="selectable-text"/>
        </w:rPr>
        <w:t>utang obligasi atau hutang bank merupakan dua kemungkinan sumber pendanaan yang berasal dari hutang</w:t>
      </w:r>
      <w:r>
        <w:rPr>
          <w:rStyle w:val="selectable-text"/>
          <w:lang w:val="en-US"/>
        </w:rPr>
        <w:t>.</w:t>
      </w:r>
    </w:p>
    <w:p w14:paraId="636D6C0E" w14:textId="77777777" w:rsidR="00D91A46" w:rsidRPr="00CE6BD3" w:rsidRDefault="00D91A46" w:rsidP="00D91A46">
      <w:pPr>
        <w:ind w:firstLine="284"/>
      </w:pPr>
      <w:r w:rsidRPr="00CE6BD3">
        <w:rPr>
          <w:rStyle w:val="selectable-text"/>
        </w:rPr>
        <w:t xml:space="preserve">PPh 25 </w:t>
      </w:r>
      <w:r w:rsidRPr="00CE6BD3">
        <w:rPr>
          <w:rStyle w:val="selectable-text"/>
          <w:lang w:val="en-US"/>
        </w:rPr>
        <w:t xml:space="preserve">merupakan </w:t>
      </w:r>
      <w:r w:rsidRPr="00CE6BD3">
        <w:rPr>
          <w:rStyle w:val="selectable-text"/>
        </w:rPr>
        <w:t>mekanisme pembayaran pajak penghasilan (PPh) di Indonesia di</w:t>
      </w:r>
      <w:r w:rsidRPr="00CE6BD3">
        <w:rPr>
          <w:rStyle w:val="selectable-text"/>
          <w:lang w:val="en-US"/>
        </w:rPr>
        <w:t>peruntuhkan</w:t>
      </w:r>
      <w:r w:rsidRPr="00CE6BD3">
        <w:rPr>
          <w:rStyle w:val="selectable-text"/>
        </w:rPr>
        <w:t xml:space="preserve"> melalui angsuran bulanan. Pajak dibebankan kepada pengusaha</w:t>
      </w:r>
      <w:r w:rsidRPr="00CE6BD3">
        <w:rPr>
          <w:rStyle w:val="selectable-text"/>
          <w:lang w:val="en-US"/>
        </w:rPr>
        <w:t xml:space="preserve"> ataupun kepada personal atau individu</w:t>
      </w:r>
      <w:r w:rsidRPr="00CE6BD3">
        <w:rPr>
          <w:rStyle w:val="selectable-text"/>
        </w:rPr>
        <w:t>. PPh 25 di</w:t>
      </w:r>
      <w:r w:rsidRPr="00CE6BD3">
        <w:rPr>
          <w:rStyle w:val="selectable-text"/>
          <w:lang w:val="en-US"/>
        </w:rPr>
        <w:t xml:space="preserve">tentukan berdasarkan peraturan yang berlaku atas pajak penghasilan. </w:t>
      </w:r>
      <w:r w:rsidRPr="00CE6BD3">
        <w:rPr>
          <w:rStyle w:val="selectable-text"/>
        </w:rPr>
        <w:t xml:space="preserve">dan bertujuan untuk meringankan beban pembayaran pajak tahunan dengan membagi pembayaran pajak ke dalam angsuran bulanan. memahami dan mematuhi ketentuan PPh 25, wajib pajak dapat menghindari sanksi dan mendukung kepatuhan pajak yang baik, serta membantu pemerintah dalam mengumpulkan penerimaan negara secara berkelanjutan. </w:t>
      </w:r>
      <w:r w:rsidRPr="00CE6BD3">
        <w:rPr>
          <w:lang w:val="en-US"/>
        </w:rPr>
        <w:t>Misalkan menaikkan aset, penghasilan, profit, ataupun dalam bentuk profit pendapatan atau modal dan lain sebagainya</w:t>
      </w:r>
      <w:r>
        <w:rPr>
          <w:lang w:val="en-US"/>
        </w:rPr>
        <w:t xml:space="preserve"> </w:t>
      </w:r>
      <w:r>
        <w:rPr>
          <w:lang w:val="en-US"/>
        </w:rPr>
        <w:fldChar w:fldCharType="begin" w:fldLock="1"/>
      </w:r>
      <w:r>
        <w:rPr>
          <w:lang w:val="en-US"/>
        </w:rPr>
        <w:instrText>ADDIN CSL_CITATION {"citationItems":[{"id":"ITEM-1","itemData":{"DOI":"https://www.cnbcindonesia.com/syariah/20190608180708-29-77170/5-tahun-rerata-pertumbuhan-industri-perbankan-syariah-15","URL":"https://www.cnbcindonesia.com/syariah/20190608180708-29-77170/5-tahun-rerata-pertumbuhan-industri-perbankan-syariah-15","author":[{"dropping-particle":"","family":"Rahajeng Kusumo Hastuti","given":"","non-dropping-particle":"","parse-names":false,"suffix":""}],"container-title":"CNN Indonesia","id":"ITEM-1","issued":{"date-parts":[["2019"]]},"page":"5","title":"5 Tahun Rerata Pertumbuhan Industri Perbankan Syariah 15%","type":"webpage"},"uris":["http://www.mendeley.com/documents/?uuid=c4ba9ca7-970e-4049-bd6e-8589533aba68"]}],"mendeley":{"formattedCitation":"(Rahajeng Kusumo Hastuti, 2019)","plainTextFormattedCitation":"(Rahajeng Kusumo Hastuti, 2019)","previouslyFormattedCitation":"(Rahajeng Kusumo Hastuti, 2019)"},"properties":{"noteIndex":0},"schema":"https://github.com/citation-style-language/schema/raw/master/csl-citation.json"}</w:instrText>
      </w:r>
      <w:r>
        <w:rPr>
          <w:lang w:val="en-US"/>
        </w:rPr>
        <w:fldChar w:fldCharType="separate"/>
      </w:r>
      <w:r w:rsidRPr="00E9536A">
        <w:rPr>
          <w:lang w:val="en-US"/>
        </w:rPr>
        <w:t>(Rahajeng Kusumo Hastuti, 2019)</w:t>
      </w:r>
      <w:r>
        <w:rPr>
          <w:lang w:val="en-US"/>
        </w:rPr>
        <w:fldChar w:fldCharType="end"/>
      </w:r>
      <w:r w:rsidRPr="00CE6BD3">
        <w:t xml:space="preserve"> </w:t>
      </w:r>
      <w:r w:rsidRPr="00CE6BD3">
        <w:rPr>
          <w:lang w:val="en-US"/>
        </w:rPr>
        <w:t xml:space="preserve"> Macam-macam perolehan pendapatan pajak penghasilan mempunyai kerjasama yang paling besar sebagai </w:t>
      </w:r>
      <w:r w:rsidRPr="00CE6BD3">
        <w:rPr>
          <w:rStyle w:val="selectable-text"/>
        </w:rPr>
        <w:t>ilustrasi</w:t>
      </w:r>
      <w:r>
        <w:rPr>
          <w:rStyle w:val="selectable-text"/>
          <w:lang w:val="en-US"/>
        </w:rPr>
        <w:t xml:space="preserve"> </w:t>
      </w:r>
      <w:r>
        <w:rPr>
          <w:rStyle w:val="selectable-text"/>
        </w:rPr>
        <w:t>Pasal 21 dan 22 ketetapan PPh, Pasal 22 tentang impor, Pasal 23 PPh, dan Pasal 26</w:t>
      </w:r>
      <w:r>
        <w:rPr>
          <w:rStyle w:val="selectable-text"/>
          <w:lang w:val="en-US"/>
        </w:rPr>
        <w:t xml:space="preserve"> </w:t>
      </w:r>
      <w:r>
        <w:rPr>
          <w:rStyle w:val="selectable-text"/>
        </w:rPr>
        <w:t>Penghasilan yang diterima atau dihasilkan oleh Wajib Pajak asing yang berasal dari Indonesia tidak termasuk Bentuk Usaha Tetap (BUT) yang berada di Indonesia</w:t>
      </w:r>
      <w:r w:rsidRPr="00CE6BD3">
        <w:rPr>
          <w:rStyle w:val="selectable-text"/>
        </w:rPr>
        <w:t>. Undang-Undang Nomor 7 Tahun 1983 tentang Pajak Penghasilan merupakan peraturan perundang-undangan utama yang dimaksudkan u</w:t>
      </w:r>
      <w:r>
        <w:rPr>
          <w:rStyle w:val="selectable-text"/>
        </w:rPr>
        <w:t>ntuk mengatur pajak penghasilan</w:t>
      </w:r>
      <w:r w:rsidRPr="00CE6BD3">
        <w:rPr>
          <w:rStyle w:val="selectable-text"/>
        </w:rPr>
        <w:t xml:space="preserve"> telah digantikan dengan Undang-Undang Nomor 36 Tahun 2008. Undang-undang ini mengatur tentang pajak penghasilan </w:t>
      </w:r>
      <w:r w:rsidRPr="00CE6BD3">
        <w:rPr>
          <w:rStyle w:val="selectable-text"/>
        </w:rPr>
        <w:lastRenderedPageBreak/>
        <w:t>pemerintah. Suatu entitas dapat digunakan sebagai taktik untuk menghindari biaya struktur modal dan mengurangi pajak penghasilan perusahaan.</w:t>
      </w:r>
    </w:p>
    <w:p w14:paraId="77D73D75" w14:textId="77777777" w:rsidR="00D91A46" w:rsidRPr="00CE6BD3" w:rsidRDefault="00D91A46" w:rsidP="00D91A46">
      <w:pPr>
        <w:ind w:firstLine="284"/>
      </w:pPr>
      <w:r w:rsidRPr="00CE6BD3">
        <w:t>Susunan ekuitas berpedoman kepada berbagai asal pembiayaan yang dipakai oleh entitas dalam rangka  membiayai operasinya dan pertumbuhannya, terutama dalam hal permodalan jangka panjang. Ini biasanya terdiri dari ekuitas (saham biasa dan saham preferen) dan utang (obligasi, pinjaman jangka panjang). Kombinasi dari berbagai sumber ini menentukan struktur modal perusahaan. Pengeluaran jangka panjang perusahaan meliputi investasi dalam aset tetap seperti properti, pabrik, peralatan, serta penelitian dan pengembangan (R&amp;D), ekspansi bisnis, dan akuisisi. Pengeluaran ini m</w:t>
      </w:r>
      <w:r w:rsidRPr="00CE6BD3">
        <w:rPr>
          <w:lang w:val="en-US"/>
        </w:rPr>
        <w:t>empunyai efek yang sangat besar kepada kapasitas entitas</w:t>
      </w:r>
      <w:r w:rsidRPr="00CE6BD3">
        <w:t xml:space="preserve"> untuk tumbuh dan berkompetisi dalam jangka panjang</w:t>
      </w:r>
      <w:r>
        <w:t xml:space="preserve"> </w:t>
      </w:r>
      <w:r>
        <w:fldChar w:fldCharType="begin" w:fldLock="1"/>
      </w:r>
      <w:r>
        <w:instrText>ADDIN CSL_CITATION {"citationItems":[{"id":"ITEM-1","itemData":{"DOI":"10.1080/14413523.2022.2152936","ISSN":"14413523","abstract":"In surveys across countries, nonprofit sports clubs report their perceived financial situation using some form of Likert scale; however, it is unclear what this subjectively reported rating reflects. The purpose of this study is to examine the link between objective financial measures and club officials’ perceptions of the financial situation. The main research question is: What objective financial measures best reflect the level and changes in the perceived financial situation of nonprofit sports clubs? The study used panel data from four consecutive waves of a German sports club’s panel (n = 2,859). The clubs’ financial situation was assessed on a 6-point scale (1 = no problem; 6 = existential problem). This subjective measure was juxtaposed with several objective financial measures drawn from the literature and financial theories. These measures include general financial measures like interest coverage, margin, and revenue diversification, but also measures specifically developed for the nonprofit sports clubs’ context. The results of regression analyses show that operating margin, revenue diversity, the share of facility expenses relative to total expenses, and administrative expenses relative to total revenue significantly explained the subjectively rated financial situation. The findings suggest that objective financial measures are required to better understand the financial situation of sports clubs and design more targeted support programmes.","author":[{"dropping-particle":"","family":"Feiler","given":"Svenja","non-dropping-particle":"","parse-names":false,"suffix":""},{"dropping-particle":"","family":"Coates","given":"Dennis","non-dropping-particle":"","parse-names":false,"suffix":""},{"dropping-particle":"","family":"Wicker","given":"Pamela","non-dropping-particle":"","parse-names":false,"suffix":""},{"dropping-particle":"","family":"Breuer","given":"Christoph","non-dropping-particle":"","parse-names":false,"suffix":""}],"container-title":"Sport Management Review","id":"ITEM-1","issue":"00","issued":{"date-parts":[["2022"]]},"page":"1-21","publisher":"Routledge","title":"The perceived financial situation of nonprofit sports clubs explained by objective financial measures","type":"article-journal","volume":"00"},"uris":["http://www.mendeley.com/documents/?uuid=14922662-d3a6-419a-9916-2c769977bbb2"]}],"mendeley":{"formattedCitation":"(Feiler et al., 2022)","plainTextFormattedCitation":"(Feiler et al., 2022)","previouslyFormattedCitation":"(Feiler et al., 2022)"},"properties":{"noteIndex":0},"schema":"https://github.com/citation-style-language/schema/raw/master/csl-citation.json"}</w:instrText>
      </w:r>
      <w:r>
        <w:fldChar w:fldCharType="separate"/>
      </w:r>
      <w:r w:rsidRPr="00E9536A">
        <w:t>(Feiler et al., 2022)</w:t>
      </w:r>
      <w:r>
        <w:fldChar w:fldCharType="end"/>
      </w:r>
    </w:p>
    <w:p w14:paraId="175DB2AF" w14:textId="77777777" w:rsidR="00D91A46" w:rsidRPr="00CE6BD3" w:rsidRDefault="00D91A46" w:rsidP="00D91A46">
      <w:pPr>
        <w:ind w:firstLine="284"/>
      </w:pPr>
      <w:r w:rsidRPr="00CE6BD3">
        <w:t xml:space="preserve">Berdasarkan fakta empiris prilaku pengusaha cenderung untuk membayar pajak lebih kecil dengan argumen sementara dipihak lain pemerintah berupaya semaksimal mungkin agar dapat menarik pajak dari masyarakat dengan demikian entitas usaha berupaya untuk mempekecil laba dalam menyusun laporan keuangan untuk kepentingan laporan pajak dan sebaliknya bila entitas membuat laporan keuangan untuk tujuan komersil maka perilaku nya sebaliknya yaitu berupaya untuk membuat laba semaksimal mungkin. </w:t>
      </w:r>
    </w:p>
    <w:p w14:paraId="009C9CC0" w14:textId="77777777" w:rsidR="00D91A46" w:rsidRPr="00CE6BD3" w:rsidRDefault="00D91A46" w:rsidP="00D91A46">
      <w:pPr>
        <w:ind w:firstLine="284"/>
      </w:pPr>
      <w:r w:rsidRPr="00CE6BD3">
        <w:t>Hal-hal yang perlu dipertimbangkan bagi entitas dalam memenents fungsi keuangan atau manajemen keuangan</w:t>
      </w:r>
      <w:r w:rsidRPr="00CE6BD3">
        <w:rPr>
          <w:lang w:val="en-US"/>
        </w:rPr>
        <w:t xml:space="preserve"> </w:t>
      </w:r>
      <w:r w:rsidRPr="00CE6BD3">
        <w:t xml:space="preserve">adalah </w:t>
      </w:r>
      <w:r w:rsidRPr="00CE6BD3">
        <w:rPr>
          <w:rStyle w:val="selectable-text"/>
        </w:rPr>
        <w:t>Seberapa besar kebutuhan keuangan perusahaan terpenuhi agar dapat berjalan dan berkembang</w:t>
      </w:r>
      <w:r w:rsidRPr="00CE6BD3">
        <w:t>. Untuk melengkapi keinginan dana entitas bisa mendapatkan tarif unsur-unsur dari luar negeri ataupun unsur-unsur yang ada dalam negeri.</w:t>
      </w:r>
      <w:r w:rsidRPr="00CE6BD3">
        <w:rPr>
          <w:lang w:val="en-US"/>
        </w:rPr>
        <w:t xml:space="preserve"> Alternatf melengkapi kebutuhan akan uang perusahaan berupaya untuk mendapatkan modal sendiri atau dengan kata lain dari pembiayaan internal </w:t>
      </w:r>
      <w:r w:rsidRPr="00CE6BD3">
        <w:rPr>
          <w:rStyle w:val="selectable-text"/>
        </w:rPr>
        <w:t>bersifat permanen, namun modal asing (eksternal) hanya digunakan sebagai pelengkap ketika uang yang diperlukan tidak tersedia</w:t>
      </w:r>
      <w:r>
        <w:rPr>
          <w:rStyle w:val="selectable-text"/>
        </w:rPr>
        <w:fldChar w:fldCharType="begin" w:fldLock="1"/>
      </w:r>
      <w:r>
        <w:rPr>
          <w:rStyle w:val="selectable-text"/>
        </w:rPr>
        <w:instrText>ADDIN CSL_CITATION {"citationItems":[{"id":"ITEM-1","itemData":{"DOI":"10.2478/foli-2021-0013","ISSN":"18980198","abstract":"Research background: An assessment of the dynamics of the development of the housing market is critical for development activity and the institutions that finance it. Due to the capital intensity of development projects, it seems necessary to perform detailed analyses to be sure that the investment will find buyers and to know how much time it will take for this undertaking to be sold. The absorption rate reports it. Purpose: The aim of the article is, therefore, to verify the importance of the absorption rate in assessing the dynamics of property market development based on the example of housing development activity in Łód. Research methodology: To achieve the aim, in the empirical part of the article, information on developers' investments in Łód was independently collected, and based on them, absorption ratios for several periods were estimated. Results: The study showed dynamic changes in the absorption rate, as well as its diversity depending on the type of building and location. That is why it is so important to analyze this indicator in developers' activity, where the risk of recovering the capital engaged is very high. Novelty: In Poland, there are few publications on the given topic, and the existing analyses of the absorption rate in Poland, prepared for the largest Polish cities, do not include the division into specific locations or the type of real estate, which is why they are not sufficiently reliable information for developers.","author":[{"dropping-particle":"","family":"Antczak-Stȩpniak","given":"Agata","non-dropping-particle":"","parse-names":false,"suffix":""}],"container-title":"Folia Oeconomica Stetinensia","id":"ITEM-1","issue":"2","issued":{"date-parts":[["2021"]]},"page":"1-20","title":"Absorption Rate as a Tool for Assessing the Dynamics of Development Activity","type":"article-journal","volume":"21"},"uris":["http://www.mendeley.com/documents/?uuid=303ff83b-878e-431d-bee5-f89f343a63f2"]}],"mendeley":{"formattedCitation":"(Antczak-Stȩpniak, 2021)","plainTextFormattedCitation":"(Antczak-Stȩpniak, 2021)","previouslyFormattedCitation":"(Antczak-Stȩpniak, 2021)"},"properties":{"noteIndex":0},"schema":"https://github.com/citation-style-language/schema/raw/master/csl-citation.json"}</w:instrText>
      </w:r>
      <w:r>
        <w:rPr>
          <w:rStyle w:val="selectable-text"/>
        </w:rPr>
        <w:fldChar w:fldCharType="separate"/>
      </w:r>
      <w:r w:rsidRPr="00E9536A">
        <w:rPr>
          <w:rStyle w:val="selectable-text"/>
        </w:rPr>
        <w:t>(Antczak-Stȩpniak, 2021)</w:t>
      </w:r>
      <w:r>
        <w:rPr>
          <w:rStyle w:val="selectable-text"/>
        </w:rPr>
        <w:fldChar w:fldCharType="end"/>
      </w:r>
      <w:r w:rsidRPr="00CE6BD3">
        <w:rPr>
          <w:rStyle w:val="selectable-text"/>
        </w:rPr>
        <w:t>.</w:t>
      </w:r>
    </w:p>
    <w:p w14:paraId="13361592" w14:textId="77777777" w:rsidR="00D91A46" w:rsidRPr="00CE6BD3" w:rsidRDefault="00D91A46" w:rsidP="00D91A46">
      <w:pPr>
        <w:ind w:firstLine="142"/>
        <w:jc w:val="lowKashida"/>
      </w:pPr>
      <w:r w:rsidRPr="00CE6BD3">
        <w:t xml:space="preserve">Entitas yang memiliki komposisi modal yang bisa memenuhi keinginan entitas dengan susuna modal yang diperoleh dari utang biasanya pengusaha berupaya untuk tidak melalui jalur </w:t>
      </w:r>
      <w:r w:rsidRPr="00CE6BD3">
        <w:rPr>
          <w:rStyle w:val="selectable-text"/>
        </w:rPr>
        <w:t xml:space="preserve">Investasi akan menghasilkan utang, dan bisnis yang memiliki banyak utang berisiko dilikuidasi karena tidak mampu melunasi seluruh utangnya. Jika asumsi tertentu </w:t>
      </w:r>
      <w:r w:rsidRPr="00CE6BD3">
        <w:rPr>
          <w:rStyle w:val="selectable-text"/>
        </w:rPr>
        <w:lastRenderedPageBreak/>
        <w:t>harus dibuat untuk memahami dampak likuiditas keuangan.</w:t>
      </w:r>
      <w:r w:rsidRPr="00CE6BD3">
        <w:rPr>
          <w:lang w:val="en-US"/>
        </w:rPr>
        <w:t xml:space="preserve"> </w:t>
      </w:r>
      <w:r w:rsidRPr="00CE6BD3">
        <w:t xml:space="preserve">Sekiranya diperlukan asumsi khusus agar dapat membaca konsekuensi likuiditas keuangan. </w:t>
      </w:r>
    </w:p>
    <w:p w14:paraId="1CE62EC6" w14:textId="77777777" w:rsidR="00D91A46" w:rsidRPr="00CE6BD3" w:rsidRDefault="00D91A46" w:rsidP="00D91A46">
      <w:pPr>
        <w:ind w:firstLine="142"/>
        <w:jc w:val="lowKashida"/>
        <w:rPr>
          <w:rStyle w:val="selectable-text"/>
          <w:lang w:val="en-US"/>
        </w:rPr>
      </w:pPr>
      <w:r w:rsidRPr="00CE6BD3">
        <w:rPr>
          <w:rStyle w:val="selectable-text"/>
        </w:rPr>
        <w:t>Ada cara untuk meminimalkan menggunakan jumlah utang yang digunakan perusahaan untuk mengimbangi beban pajaknya merupakan praktik luas yang masih diperbolehkan berdasarkan peraturan perpajakan. Hutang yang dimaksud adalah hutang jangka panjang, perusahaan menyiasatinya dengan menggunakan teknik keuangan dengan mendanai kegiatan operasional perusahaan dengan menggunakan hutang</w:t>
      </w:r>
      <w:r w:rsidRPr="00CE6BD3">
        <w:rPr>
          <w:rStyle w:val="selectable-text"/>
          <w:lang w:val="en-US"/>
        </w:rPr>
        <w:t>.</w:t>
      </w:r>
      <w:r>
        <w:rPr>
          <w:rStyle w:val="selectable-text"/>
          <w:lang w:val="en-US"/>
        </w:rPr>
        <w:t xml:space="preserve"> </w:t>
      </w:r>
      <w:r>
        <w:rPr>
          <w:rStyle w:val="selectable-text"/>
          <w:lang w:val="en-US"/>
        </w:rPr>
        <w:fldChar w:fldCharType="begin" w:fldLock="1"/>
      </w:r>
      <w:r>
        <w:rPr>
          <w:rStyle w:val="selectable-text"/>
          <w:lang w:val="en-US"/>
        </w:rPr>
        <w:instrText>ADDIN CSL_CITATION {"citationItems":[{"id":"ITEM-1","itemData":{"DOI":"10.3390/econometrics10010011","ISSN":"22251146","abstract":"The green bond market is emerging as an impactful financing mechanism in climate change mitigation efforts. The effectiveness of the financial market for this transition to a low-carbon economy depends on attracting investors and removing financial market roadblocks. This paper investigates the differential bond performance of green vs non-green bonds with (1) a dynamic portfolio model that integrates negative as well as positive externality effects and via (2) econometric analyses of aggregate green bond and corporate energy time-series indices; as well as a cross-sectional set of individual bonds issued between 1 January 2017, and 1 October 2020. The asset pricing model demonstrates that, in the long-run, the positive externalities of green bonds benefit the economy through positive social returns. We use a deterministic and a stochastic version of the dynamic portfolio approach to obtain model-driven results and evaluate those through our empirical evidence using harmonic estimations. The econometric analysis of this study focuses on volatility and the risk–return performance (Sharpe ratio) of green and non-green bonds, and extends recent econometric studies that focused on yield differentials of green and non-green bonds. A modified Sharpe ratio analysis, cross-sectional methods, harmonic estimations, bond pairing estimations, as well as regression tree methodology, indicate that green bonds tend to show lower volatility and deliver superior Sharpe ratios (while the evidence for green premia is mixed). As a result, green bond investment can protect investors and portfolios from oil price and business cycle fluctuations, and stabilize portfolio returns and volatility. Policymakers are encouraged to make use of the financial benefits of green instruments and increase the financial flows towards sustainable economic activities to accelerate a low-carbon transition.","author":[{"dropping-particle":"","family":"Lichtenberger","given":"Andreas","non-dropping-particle":"","parse-names":false,"suffix":""},{"dropping-particle":"","family":"Braga","given":"Joao Paulo","non-dropping-particle":"","parse-names":false,"suffix":""},{"dropping-particle":"","family":"Semmler","given":"Willi","non-dropping-particle":"","parse-names":false,"suffix":""}],"container-title":"Econometrics","id":"ITEM-1","issue":"1","issued":{"date-parts":[["2022"]]},"page":"1-31","title":"Green Bonds for the Transition to a Low-Carbon Economy","type":"article-journal","volume":"10"},"uris":["http://www.mendeley.com/documents/?uuid=069000f8-c425-494d-bbc4-957f785f4698"]}],"mendeley":{"formattedCitation":"(Lichtenberger et al., 2022)","plainTextFormattedCitation":"(Lichtenberger et al., 2022)","previouslyFormattedCitation":"(Lichtenberger et al., 2022)"},"properties":{"noteIndex":0},"schema":"https://github.com/citation-style-language/schema/raw/master/csl-citation.json"}</w:instrText>
      </w:r>
      <w:r>
        <w:rPr>
          <w:rStyle w:val="selectable-text"/>
          <w:lang w:val="en-US"/>
        </w:rPr>
        <w:fldChar w:fldCharType="separate"/>
      </w:r>
      <w:r w:rsidRPr="00E9536A">
        <w:rPr>
          <w:rStyle w:val="selectable-text"/>
          <w:lang w:val="en-US"/>
        </w:rPr>
        <w:t>(Lichtenberger et al., 2022)</w:t>
      </w:r>
      <w:r>
        <w:rPr>
          <w:rStyle w:val="selectable-text"/>
          <w:lang w:val="en-US"/>
        </w:rPr>
        <w:fldChar w:fldCharType="end"/>
      </w:r>
      <w:r>
        <w:rPr>
          <w:rStyle w:val="selectable-text"/>
          <w:lang w:val="en-US"/>
        </w:rPr>
        <w:t>U</w:t>
      </w:r>
      <w:r w:rsidRPr="00CE6BD3">
        <w:rPr>
          <w:rStyle w:val="selectable-text"/>
        </w:rPr>
        <w:t>tang perusahaan akan dijadikan sebagai struktur modalnya. Salah satu jenis pendanaan yang mempengaruhi beban pajak adalah utang. Bunga akan dibebankan pada dana yang berasal dari utang; semakin besar jumlah modal yang diperoleh dari hutang, semakin tinggi pula bunga yang harus dibayar. Sebagaimana diatur dalam Undang-Undang Pajak Penghasilan Nomor 36 Tahun 2008 Pasal 6 yang menyatakan bahwa beban bunga dapat digunakan untuk menurunkan penghasilan kena pajak.</w:t>
      </w:r>
    </w:p>
    <w:p w14:paraId="459D31C4" w14:textId="77777777" w:rsidR="00D91A46" w:rsidRPr="00CE6BD3" w:rsidRDefault="00D91A46" w:rsidP="00D91A46">
      <w:pPr>
        <w:ind w:firstLine="284"/>
        <w:jc w:val="lowKashida"/>
        <w:rPr>
          <w:rStyle w:val="selectable-text"/>
        </w:rPr>
      </w:pPr>
      <w:r w:rsidRPr="00CE6BD3">
        <w:rPr>
          <w:rStyle w:val="selectable-text"/>
          <w:lang w:val="en-US"/>
        </w:rPr>
        <w:t>Menurut</w:t>
      </w:r>
      <w:r>
        <w:rPr>
          <w:rStyle w:val="selectable-text"/>
          <w:lang w:val="en-US"/>
        </w:rPr>
        <w:t xml:space="preserve"> </w:t>
      </w:r>
      <w:r>
        <w:rPr>
          <w:rStyle w:val="selectable-text"/>
          <w:lang w:val="en-US"/>
        </w:rPr>
        <w:fldChar w:fldCharType="begin" w:fldLock="1"/>
      </w:r>
      <w:r>
        <w:rPr>
          <w:rStyle w:val="selectable-text"/>
          <w:lang w:val="en-US"/>
        </w:rPr>
        <w:instrText>ADDIN CSL_CITATION {"citationItems":[{"id":"ITEM-1","itemData":{"DOI":"10.1080/23311975.2022.2101327","ISSN":"23311975","abstract":"This study aims to develop rules of thumb for the financial conditions of city livability. These rules will provide a practical guide for local government leaders managing local government finances on how to realize a livable city. This study identifies three indicators for the financial conditions that characterize a city’s livability, namely its operating capacity, financial flexibility, and commitment to maintain services. The standards for each of these three indicators is 1.20 times for the operating capacity ratio, 0.18 times for the financial flexibility ratio, and 0.25 times for the commitment to maintain services ratio.","author":[{"dropping-particle":"","family":"Ritonga","given":"Irwan Taufiq","non-dropping-particle":"","parse-names":false,"suffix":""},{"dropping-particle":"","family":"Buanaputra","given":"Vogy Gautama","non-dropping-particle":"","parse-names":false,"suffix":""}],"container-title":"Cogent Business and Management","id":"ITEM-1","issue":"1","issued":{"date-parts":[["2022"]]},"publisher":"Cogent","title":"Developing rules of thumb for the financial conditions of city livability: a study of municipal governments in Indonesia","type":"article-journal","volume":"9"},"uris":["http://www.mendeley.com/documents/?uuid=66976c31-dbe8-4535-89da-899fe4c820f7"]}],"mendeley":{"formattedCitation":"(Ritonga &amp; Buanaputra, 2022)","plainTextFormattedCitation":"(Ritonga &amp; Buanaputra, 2022)","previouslyFormattedCitation":"(Ritonga &amp; Buanaputra, 2022)"},"properties":{"noteIndex":0},"schema":"https://github.com/citation-style-language/schema/raw/master/csl-citation.json"}</w:instrText>
      </w:r>
      <w:r>
        <w:rPr>
          <w:rStyle w:val="selectable-text"/>
          <w:lang w:val="en-US"/>
        </w:rPr>
        <w:fldChar w:fldCharType="separate"/>
      </w:r>
      <w:r w:rsidRPr="00E9536A">
        <w:rPr>
          <w:rStyle w:val="selectable-text"/>
          <w:lang w:val="en-US"/>
        </w:rPr>
        <w:t>(Ritonga &amp; Buanaputra, 2022)</w:t>
      </w:r>
      <w:r>
        <w:rPr>
          <w:rStyle w:val="selectable-text"/>
          <w:lang w:val="en-US"/>
        </w:rPr>
        <w:fldChar w:fldCharType="end"/>
      </w:r>
      <w:r w:rsidRPr="00CE6BD3">
        <w:rPr>
          <w:rStyle w:val="selectable-text"/>
        </w:rPr>
        <w:t xml:space="preserve"> menyatakan bauran pendanaan suatu perusahaan didominasi oleh debt to equity jika nilai Debt to Equity Ratio (DER) lebih dari 1,00. Total ekuitas jauh lebih besar dibandingkan total utang jika rasio Debt to Equity Ratio (DER) kurang dari 1,00</w:t>
      </w:r>
      <w:r w:rsidRPr="00CE6BD3">
        <w:rPr>
          <w:rStyle w:val="selectable-text"/>
          <w:lang w:val="en-US"/>
        </w:rPr>
        <w:t xml:space="preserve">. </w:t>
      </w:r>
      <w:r w:rsidRPr="00CE6BD3">
        <w:rPr>
          <w:rStyle w:val="selectable-text"/>
        </w:rPr>
        <w:t>Semakin tinggi Debt to Equity Ratio (DER) maka semakin banyak pula</w:t>
      </w:r>
      <w:r>
        <w:rPr>
          <w:rStyle w:val="selectable-text"/>
          <w:lang w:val="en-US"/>
        </w:rPr>
        <w:t xml:space="preserve"> </w:t>
      </w:r>
      <w:r>
        <w:rPr>
          <w:rStyle w:val="selectable-text"/>
        </w:rPr>
        <w:t>total modal untuk hutang jangka pendek dan panjang</w:t>
      </w:r>
      <w:r w:rsidRPr="00CE6BD3">
        <w:rPr>
          <w:rStyle w:val="selectable-text"/>
        </w:rPr>
        <w:t>, sehingga akan menambah beban yang harus ditanggung usaha dari pihak luar (kreditur). Jika rasio utang terhadap ekuitas (DER)</w:t>
      </w:r>
      <w:r w:rsidRPr="00CE6BD3">
        <w:rPr>
          <w:rStyle w:val="selectable-text"/>
          <w:lang w:val="en-US"/>
        </w:rPr>
        <w:t xml:space="preserve"> maka </w:t>
      </w:r>
      <w:r w:rsidRPr="00CE6BD3">
        <w:rPr>
          <w:rStyle w:val="selectable-text"/>
        </w:rPr>
        <w:t xml:space="preserve">suatu perusahaan kurang dari 1,00 berarti utangnya lebih kecil dari modalnya. Seperti yang diungkapkan oleh </w:t>
      </w:r>
      <w:r>
        <w:rPr>
          <w:rStyle w:val="selectable-text"/>
        </w:rPr>
        <w:fldChar w:fldCharType="begin" w:fldLock="1"/>
      </w:r>
      <w:r>
        <w:rPr>
          <w:rStyle w:val="selectable-text"/>
        </w:rPr>
        <w:instrText>ADDIN CSL_CITATION {"citationItems":[{"id":"ITEM-1","itemData":{"DOI":"10.5755/j01.ee.32.1.27382","ISSN":"20295839","abstract":"Financial distress prediction is a key challenge every financing provider faces when determining borrower creditworthiness. Inherent opaqueness of Small and Medium Enterprise business complicates credit decision making process, therefore increasing cost to finance and lowering probability of receiving funds. This paper used data on 12.000 SMEs to estimate binomial classifiers for financial distress prediction using Logistic Regression, Artificial Neural Networks and Random Forest techniques. Classical financial ratios were used to estimate initial single-period predictors, which were later enhanced with time, credit history and age factors to retrieve multi-period models. Contrary to other studies, financial distress is understood as a significant challenge to company’s ability to cover liabilities rather than probability to go bankrupt. Highest prediction accuracy was reached using Random Forest algorithm with additional factors. It was concluded that period-at-risk adjustment is necessary to ensure highest financial distress prediction accuracy.","author":[{"dropping-particle":"","family":"Malakauskas","given":"Aidas","non-dropping-particle":"","parse-names":false,"suffix":""},{"dropping-particle":"","family":"Lakstutiene","given":"Ausrine","non-dropping-particle":"","parse-names":false,"suffix":""}],"container-title":"Engineering Economics","id":"ITEM-1","issue":"1","issued":{"date-parts":[["2021"]]},"page":"4-14","title":"Financial distress prediction for small and medium enterprises using machine learning techniques","type":"article-journal","volume":"32"},"uris":["http://www.mendeley.com/documents/?uuid=34659b9e-c7ab-4025-b43d-e2d765089a09"]}],"mendeley":{"formattedCitation":"(Malakauskas &amp; Lakstutiene, 2021)","plainTextFormattedCitation":"(Malakauskas &amp; Lakstutiene, 2021)","previouslyFormattedCitation":"(Malakauskas &amp; Lakstutiene, 2021)"},"properties":{"noteIndex":0},"schema":"https://github.com/citation-style-language/schema/raw/master/csl-citation.json"}</w:instrText>
      </w:r>
      <w:r>
        <w:rPr>
          <w:rStyle w:val="selectable-text"/>
        </w:rPr>
        <w:fldChar w:fldCharType="separate"/>
      </w:r>
      <w:r w:rsidRPr="00E9536A">
        <w:rPr>
          <w:rStyle w:val="selectable-text"/>
        </w:rPr>
        <w:t>(Malakauskas &amp; Lakstutiene, 2021)</w:t>
      </w:r>
      <w:r>
        <w:rPr>
          <w:rStyle w:val="selectable-text"/>
        </w:rPr>
        <w:fldChar w:fldCharType="end"/>
      </w:r>
      <w:r w:rsidRPr="00CE6BD3">
        <w:rPr>
          <w:rStyle w:val="selectable-text"/>
        </w:rPr>
        <w:t>.</w:t>
      </w:r>
    </w:p>
    <w:p w14:paraId="3A8B0781" w14:textId="77777777" w:rsidR="00D91A46" w:rsidRPr="00CE6BD3" w:rsidRDefault="00D91A46" w:rsidP="00D91A46">
      <w:pPr>
        <w:ind w:firstLine="284"/>
        <w:jc w:val="lowKashida"/>
        <w:rPr>
          <w:rStyle w:val="selectable-text"/>
          <w:u w:val="single"/>
        </w:rPr>
      </w:pPr>
      <w:r w:rsidRPr="00CE6BD3">
        <w:rPr>
          <w:rStyle w:val="selectable-text"/>
        </w:rPr>
        <w:t>Salah satu pengukuran keuangan yang digunakan untuk menilai rasio utang terhadap ekuitas perusahaan adalah jumlah utang yang digunakan relatif terhadap ekuitas atau modal. Rasio ini memberikan gambaran umum tentang struktur modal suatu bisnis dan seberapa besar ketergantungannya pada utang untuk mendanai operasi dan investasinya. Rasio Rendah: Rasio hutang terhadap ekuitas yang rendah berarti bahwa bisnis menggunakan lebih sedikit hutang dibandingkan modalnya sendiri.</w:t>
      </w:r>
      <w:r w:rsidRPr="00CE6BD3">
        <w:rPr>
          <w:rStyle w:val="selectable-text"/>
          <w:lang w:val="en-US"/>
        </w:rPr>
        <w:t xml:space="preserve"> </w:t>
      </w:r>
      <w:r w:rsidRPr="00CE6BD3">
        <w:rPr>
          <w:rStyle w:val="selectable-text"/>
        </w:rPr>
        <w:t>Ini dapat menunjukkan kekuatan keuangan yang baik dan tingkat keamanan yang tinggi dalam menghadapi risiko keuangan.</w:t>
      </w:r>
    </w:p>
    <w:p w14:paraId="02ABB330" w14:textId="77777777" w:rsidR="00D91A46" w:rsidRPr="00CE6BD3" w:rsidRDefault="00D91A46" w:rsidP="00D91A46">
      <w:pPr>
        <w:ind w:left="142" w:firstLine="284"/>
        <w:jc w:val="lowKashida"/>
      </w:pPr>
      <w:r>
        <w:rPr>
          <w:rStyle w:val="selectable-text"/>
        </w:rPr>
        <w:lastRenderedPageBreak/>
        <w:t xml:space="preserve">Menurut  </w:t>
      </w:r>
      <w:r>
        <w:rPr>
          <w:rStyle w:val="selectable-text"/>
        </w:rPr>
        <w:fldChar w:fldCharType="begin" w:fldLock="1"/>
      </w:r>
      <w:r>
        <w:rPr>
          <w:rStyle w:val="selectable-text"/>
        </w:rPr>
        <w:instrText>ADDIN CSL_CITATION {"citationItems":[{"id":"ITEM-1","itemData":{"DOI":"10.1080/23311975.2022.2124599","ISSN":"23311975","abstract":"The purpose of this paper was to identify the information users assumed by the financiers of local governments in India and to empirically clarify the determinants of these users. The Ministry of Finance requires local governments in India to prepare public accounting information based on uniform standards from the fiscal year 2017 and is currently examining how and by whom the prepared accounting information can be utilized. In the U.S., where accrual accounting has already been adopted by states and local governments, the Governmental Accounting Standards Board (GASB) has conducted a survey of financiers and stakeholders to determine the needs of information users for financial reports in the development of accounting standards. Therefore, this paper predicts that when a local government has a large amount of debt (debt hypothesis), when there is a large demand for public goods from citizens (public goods hypothesis), and when the chief executive has experience in using financial statements (upper management hypothesis), local government treasurers will actively consider information disclosure measures in anticipation of outsiders using the information. The results of the questionnaire survey of 1,788 local government financiers indicated that the main information users of public accounting information assumed by local government financiers are government officials. As a result of the factor analysis, we found that information users can be roughly classified into government officials and other information users. We also found that in local governments where financiers assume that information users use accounting information, the chief executive has experience as a corporate officer.","author":[{"dropping-particle":"","family":"Ahmad","given":"Syed Raziuddin","non-dropping-particle":"","parse-names":false,"suffix":""},{"dropping-particle":"","family":"Sharma","given":"Raj Bahadur","non-dropping-particle":"","parse-names":false,"suffix":""},{"dropping-particle":"","family":"Ali","given":"Ijaz","non-dropping-particle":"","parse-names":false,"suffix":""},{"dropping-particle":"","family":"Baig","given":"Asif","non-dropping-particle":"","parse-names":false,"suffix":""},{"dropping-particle":"","family":"Khan","given":"Imran Ahmad","non-dropping-particle":"","parse-names":false,"suffix":""}],"container-title":"Cogent Business and Management","id":"ITEM-1","issue":"1","issued":{"date-parts":[["2022"]]},"publisher":"Cogent","title":"Determinants of information users in local public accounting","type":"article-journal","volume":"9"},"uris":["http://www.mendeley.com/documents/?uuid=87eabc0b-52ef-49ab-8088-fa96f7ac0582"]}],"mendeley":{"formattedCitation":"(Ahmad et al., 2022)","plainTextFormattedCitation":"(Ahmad et al., 2022)","previouslyFormattedCitation":"(Ahmad et al., 2022)"},"properties":{"noteIndex":0},"schema":"https://github.com/citation-style-language/schema/raw/master/csl-citation.json"}</w:instrText>
      </w:r>
      <w:r>
        <w:rPr>
          <w:rStyle w:val="selectable-text"/>
        </w:rPr>
        <w:fldChar w:fldCharType="separate"/>
      </w:r>
      <w:r w:rsidRPr="00E9536A">
        <w:rPr>
          <w:rStyle w:val="selectable-text"/>
        </w:rPr>
        <w:t>(Ahmad et al., 2022)</w:t>
      </w:r>
      <w:r>
        <w:rPr>
          <w:rStyle w:val="selectable-text"/>
        </w:rPr>
        <w:fldChar w:fldCharType="end"/>
      </w:r>
      <w:r>
        <w:rPr>
          <w:rStyle w:val="selectable-text"/>
        </w:rPr>
        <w:t xml:space="preserve"> </w:t>
      </w:r>
      <w:r w:rsidRPr="00CE6BD3">
        <w:rPr>
          <w:rStyle w:val="selectable-text"/>
        </w:rPr>
        <w:t>Rasio yang Tinggi Jika rasio utang dengan ekuitas tinggi, perusahaan menggunakan lebih banyak utang untuk membiayai operasi dan investasi. Ini dapat meningkatkan potensi imbal hasil (return) bagi pemegang saham dalam jangka panjang, tetapi juga meningkatkan risiko keuangan terkait kewajiban bunga dan keuangan lainnya.</w:t>
      </w:r>
      <w:r w:rsidRPr="00CE6BD3">
        <w:rPr>
          <w:rStyle w:val="selectable-text"/>
          <w:lang w:val="en-US"/>
        </w:rPr>
        <w:t xml:space="preserve"> </w:t>
      </w:r>
      <w:r w:rsidRPr="00CE6BD3">
        <w:rPr>
          <w:rStyle w:val="selectable-text"/>
        </w:rPr>
        <w:t>Karena struktur modal dapat digunakan oleh manajemen untuk menilai dan memutuskan berapa banyak uang tunai yang dibutuhkan perusahaan untuk tahun fiskal mendatang.</w:t>
      </w:r>
      <w:r w:rsidRPr="00CE6BD3">
        <w:rPr>
          <w:rStyle w:val="selectable-text"/>
          <w:lang w:val="en-US"/>
        </w:rPr>
        <w:t xml:space="preserve"> </w:t>
      </w:r>
      <w:r w:rsidRPr="00CE6BD3">
        <w:rPr>
          <w:rStyle w:val="selectable-text"/>
        </w:rPr>
        <w:t>maka hampir semua perusahaan manufaktur menerapkannya.</w:t>
      </w:r>
      <w:r w:rsidRPr="00CE6BD3">
        <w:rPr>
          <w:rStyle w:val="selectable-text"/>
          <w:lang w:val="en-US"/>
        </w:rPr>
        <w:t xml:space="preserve"> </w:t>
      </w:r>
      <w:r w:rsidRPr="00CE6BD3">
        <w:rPr>
          <w:rStyle w:val="selectable-text"/>
        </w:rPr>
        <w:t>Untuk mendanai inisiatif pembangunan nasional yang dapat meningkatkan pertumbuhan ekonomi, kesejahteraan nasional, dan masyarakat pada umumnya, kontribusi pajak</w:t>
      </w:r>
      <w:r w:rsidRPr="00CE6BD3">
        <w:rPr>
          <w:rStyle w:val="selectable-text"/>
          <w:lang w:val="en-US"/>
        </w:rPr>
        <w:t xml:space="preserve"> </w:t>
      </w:r>
      <w:r w:rsidRPr="00CE6BD3">
        <w:rPr>
          <w:rStyle w:val="selectable-text"/>
        </w:rPr>
        <w:t>yang semakin signifikan</w:t>
      </w:r>
      <w:r w:rsidRPr="00CE6BD3">
        <w:rPr>
          <w:rStyle w:val="selectable-text"/>
          <w:lang w:val="en-US"/>
        </w:rPr>
        <w:t xml:space="preserve"> </w:t>
      </w:r>
      <w:r w:rsidRPr="00CE6BD3">
        <w:rPr>
          <w:rStyle w:val="selectable-text"/>
        </w:rPr>
        <w:t>dianggap sebagai sumber utama penerimaan negara.</w:t>
      </w:r>
      <w:r w:rsidRPr="00CE6BD3">
        <w:t>.</w:t>
      </w:r>
      <w:r w:rsidRPr="00CE6BD3">
        <w:rPr>
          <w:lang w:val="en-US"/>
        </w:rPr>
        <w:t xml:space="preserve"> </w:t>
      </w:r>
      <w:r w:rsidRPr="00CE6BD3">
        <w:rPr>
          <w:rStyle w:val="selectable-text"/>
        </w:rPr>
        <w:t>LDAR (Laporan Alokasi Reksa Dana) Parsial adalah laporan yang disampaikan oleh pelaku usaha investasi kepada Otoritas Jasa Keuangan (OJK) yang memuat rincian mengenai cara pengelolaan dana dari reksa dana perusahaan. Hal ini berdasarkan temuan penelitian. Penggolongan pajak atas pendapatan investasi reksa dana, baik bagi pelaku usaha penanaman modal maupun bagi investor yang memperoleh penghasilan dari aset tersebut, inilah yang menghubungkan LDAR dengan utang pajak penghasilan badan.</w:t>
      </w:r>
      <w:r w:rsidRPr="00CE6BD3">
        <w:rPr>
          <w:lang w:val="en-US"/>
        </w:rPr>
        <w:t xml:space="preserve"> </w:t>
      </w:r>
      <w:r w:rsidRPr="00CE6BD3">
        <w:t>Perusahaan investasi yang mengelola reksadana biasanya dikenakan pajak penghasilan badan atas keuntungan yang diperoleh dari investasi tersebut. Keuntungan ini bisa berasal dari</w:t>
      </w:r>
      <w:r>
        <w:rPr>
          <w:lang w:val="en-US"/>
        </w:rPr>
        <w:t xml:space="preserve"> </w:t>
      </w:r>
      <w:r>
        <w:rPr>
          <w:rStyle w:val="selectable-text"/>
        </w:rPr>
        <w:t>keuntungan modal (capital gain) dari penjualan aset yang digunakan sebagai investasi, atau</w:t>
      </w:r>
      <w:r w:rsidRPr="00CE6BD3">
        <w:t xml:space="preserve"> dari pendapatan dividen dan bunga yang diperoleh dari investasi dalam instrumen pasar modal. LDAR memberikan informasi kepada OJK mengenai komposisi portofolio investasi reksadana, termasuk jenis dan jumlah investasi yang dimiliki. Informasi ini penting untuk perhitungan dan pelaporan pajak penghasilan badan perusahaan investasi. Berdasarkan informasi yang tercantum dalam LDAR, perusahaan investasi dapat menghitung pendapatan kena pajak yang dihasilkan dari portofolio reksadana mereka. Pajak penghasilan badan dihitung berdasarkan keuntungan bersih yang diperoleh setelah dikurangi dengan biaya operasional, biaya manajemen dana, dan pemotongan pajak atas dividen yang dibagikan kepada investor. </w:t>
      </w:r>
    </w:p>
    <w:p w14:paraId="1005EB51" w14:textId="77777777" w:rsidR="00D91A46" w:rsidRPr="00CE6BD3" w:rsidRDefault="00D91A46" w:rsidP="00D91A46">
      <w:pPr>
        <w:ind w:firstLine="142"/>
        <w:jc w:val="lowKashida"/>
        <w:rPr>
          <w:rStyle w:val="selectable-text"/>
          <w:u w:val="single"/>
          <w:lang w:val="en-US"/>
        </w:rPr>
      </w:pPr>
      <w:r w:rsidRPr="00CE6BD3">
        <w:rPr>
          <w:rStyle w:val="selectable-text"/>
          <w:lang w:val="en-US"/>
        </w:rPr>
        <w:lastRenderedPageBreak/>
        <w:t>Jumlah</w:t>
      </w:r>
      <w:r w:rsidRPr="00CE6BD3">
        <w:rPr>
          <w:rStyle w:val="selectable-text"/>
        </w:rPr>
        <w:t xml:space="preserve"> keuntungan usaha dan hubungannya dengan pembayaran yang diterima Kementerian Keuangan berdasarkan PMK.010/2015 (PMK-169) tentang perhitungan rasio utang terhadap modal untuk kebutuhan perusahaan dalam penetapan pajak penghasilan (PPh). Rasio hutang terhadap modal tertinggi yang diperbolehkan</w:t>
      </w:r>
      <w:r>
        <w:rPr>
          <w:rStyle w:val="selectable-text"/>
          <w:lang w:val="en-US"/>
        </w:rPr>
        <w:t xml:space="preserve"> secara umum perbandingannya empat banding satu (4:1) untuk bisnis </w:t>
      </w:r>
      <w:r w:rsidRPr="00CE6BD3">
        <w:rPr>
          <w:rStyle w:val="selectable-text"/>
        </w:rPr>
        <w:t>sebagaimana tercantum dalam PMK-169. Dengan kata lain, rasio aset terhadap utang tidak boleh lebih dari 80%. Pentingnya penelitian pada isu “</w:t>
      </w:r>
      <w:r w:rsidRPr="006C5EBE">
        <w:rPr>
          <w:rStyle w:val="selectable-text"/>
          <w:b/>
          <w:bCs/>
        </w:rPr>
        <w:t>Analisis Pengaruh Struktur Modal Terhadap Pajak Penghasilan Badan</w:t>
      </w:r>
      <w:r w:rsidRPr="006C5EBE">
        <w:rPr>
          <w:rStyle w:val="selectable-text"/>
          <w:b/>
          <w:bCs/>
          <w:lang w:val="en-US"/>
        </w:rPr>
        <w:t xml:space="preserve"> Terutang</w:t>
      </w:r>
      <w:r w:rsidRPr="006C5EBE">
        <w:rPr>
          <w:rStyle w:val="selectable-text"/>
          <w:b/>
          <w:bCs/>
        </w:rPr>
        <w:t xml:space="preserve"> (Studi Empiris Pada Perusahaan Manufaktur yang Terdaftar di Bursa Efek Indonesia Tahun</w:t>
      </w:r>
      <w:r w:rsidRPr="00CE6BD3">
        <w:rPr>
          <w:rStyle w:val="selectable-text"/>
          <w:b/>
          <w:bCs/>
        </w:rPr>
        <w:t xml:space="preserve"> 2019-2022)”</w:t>
      </w:r>
      <w:r w:rsidRPr="00CE6BD3">
        <w:rPr>
          <w:rStyle w:val="selectable-text"/>
        </w:rPr>
        <w:t xml:space="preserve"> </w:t>
      </w:r>
      <w:r w:rsidRPr="00CE6BD3">
        <w:rPr>
          <w:rStyle w:val="selectable-text"/>
          <w:lang w:val="en-US"/>
        </w:rPr>
        <w:t>oleh karena itu di pandang penting oleh peneliti.</w:t>
      </w:r>
    </w:p>
    <w:p w14:paraId="4E2142B7" w14:textId="77777777" w:rsidR="00D91A46" w:rsidRDefault="00D91A46" w:rsidP="00D91A46">
      <w:pPr>
        <w:tabs>
          <w:tab w:val="left" w:pos="142"/>
        </w:tabs>
        <w:ind w:firstLine="142"/>
        <w:jc w:val="lowKashida"/>
        <w:rPr>
          <w:rStyle w:val="selectable-text"/>
          <w:lang w:val="en-US"/>
        </w:rPr>
      </w:pPr>
      <w:r w:rsidRPr="00CE6BD3">
        <w:rPr>
          <w:rStyle w:val="selectable-text"/>
        </w:rPr>
        <w:t xml:space="preserve">Besarnya pajak penghasilan yang terutang ditentukan dengan dasar pajak yang terutang. Menurut undang-undang, pajak yang terutang harus dibayar setiap tahun atau satu hari sepanjang masa pajak </w:t>
      </w:r>
      <w:r>
        <w:rPr>
          <w:rStyle w:val="selectable-text"/>
        </w:rPr>
        <w:fldChar w:fldCharType="begin" w:fldLock="1"/>
      </w:r>
      <w:r>
        <w:rPr>
          <w:rStyle w:val="selectable-text"/>
        </w:rPr>
        <w:instrText>ADDIN CSL_CITATION {"citationItems":[{"id":"ITEM-1","itemData":{"DOI":"10.1080/23311975.2022.2124599","ISSN":"23311975","abstract":"The purpose of this paper was to identify the information users assumed by the financiers of local governments in India and to empirically clarify the determinants of these users. The Ministry of Finance requires local governments in India to prepare public accounting information based on uniform standards from the fiscal year 2017 and is currently examining how and by whom the prepared accounting information can be utilized. In the U.S., where accrual accounting has already been adopted by states and local governments, the Governmental Accounting Standards Board (GASB) has conducted a survey of financiers and stakeholders to determine the needs of information users for financial reports in the development of accounting standards. Therefore, this paper predicts that when a local government has a large amount of debt (debt hypothesis), when there is a large demand for public goods from citizens (public goods hypothesis), and when the chief executive has experience in using financial statements (upper management hypothesis), local government treasurers will actively consider information disclosure measures in anticipation of outsiders using the information. The results of the questionnaire survey of 1,788 local government financiers indicated that the main information users of public accounting information assumed by local government financiers are government officials. As a result of the factor analysis, we found that information users can be roughly classified into government officials and other information users. We also found that in local governments where financiers assume that information users use accounting information, the chief executive has experience as a corporate officer.","author":[{"dropping-particle":"","family":"Ahmad","given":"Syed Raziuddin","non-dropping-particle":"","parse-names":false,"suffix":""},{"dropping-particle":"","family":"Sharma","given":"Raj Bahadur","non-dropping-particle":"","parse-names":false,"suffix":""},{"dropping-particle":"","family":"Ali","given":"Ijaz","non-dropping-particle":"","parse-names":false,"suffix":""},{"dropping-particle":"","family":"Baig","given":"Asif","non-dropping-particle":"","parse-names":false,"suffix":""},{"dropping-particle":"","family":"Khan","given":"Imran Ahmad","non-dropping-particle":"","parse-names":false,"suffix":""}],"container-title":"Cogent Business and Management","id":"ITEM-1","issue":"1","issued":{"date-parts":[["2022"]]},"publisher":"Cogent","title":"Determinants of information users in local public accounting","type":"article-journal","volume":"9"},"uris":["http://www.mendeley.com/documents/?uuid=87eabc0b-52ef-49ab-8088-fa96f7ac0582"]}],"mendeley":{"formattedCitation":"(Ahmad et al., 2022)","plainTextFormattedCitation":"(Ahmad et al., 2022)","previouslyFormattedCitation":"(Ahmad et al., 2022)"},"properties":{"noteIndex":0},"schema":"https://github.com/citation-style-language/schema/raw/master/csl-citation.json"}</w:instrText>
      </w:r>
      <w:r>
        <w:rPr>
          <w:rStyle w:val="selectable-text"/>
        </w:rPr>
        <w:fldChar w:fldCharType="separate"/>
      </w:r>
      <w:r w:rsidRPr="00E9536A">
        <w:rPr>
          <w:rStyle w:val="selectable-text"/>
        </w:rPr>
        <w:t>(Ahmad et al., 2022)</w:t>
      </w:r>
      <w:r>
        <w:rPr>
          <w:rStyle w:val="selectable-text"/>
        </w:rPr>
        <w:fldChar w:fldCharType="end"/>
      </w:r>
      <w:r w:rsidRPr="00CE6BD3">
        <w:rPr>
          <w:rStyle w:val="selectable-text"/>
        </w:rPr>
        <w:t>.</w:t>
      </w:r>
      <w:r w:rsidRPr="00665ED0">
        <w:rPr>
          <w:rStyle w:val="selectable-text"/>
        </w:rPr>
        <w:t xml:space="preserve"> </w:t>
      </w:r>
      <w:r>
        <w:rPr>
          <w:rStyle w:val="selectable-text"/>
        </w:rPr>
        <w:t>Pemotongan dan pemungutan pajak pihak ketiga dapat digunakan untuk membayar pajak yang jatuh tempo dalam jangka waktu tertentu</w:t>
      </w:r>
      <w:r w:rsidRPr="00665ED0">
        <w:rPr>
          <w:rStyle w:val="selectable-text"/>
        </w:rPr>
        <w:t xml:space="preserve"> d</w:t>
      </w:r>
      <w:r>
        <w:rPr>
          <w:rStyle w:val="selectable-text"/>
        </w:rPr>
        <w:t>alam dunia usaha membayar pajak merupakan suatu keharusan yang tidak dapat dihindari. Namun dunia usaha dapat mengendalikan perpajakan mereka untuk menjamin bahwa jumlah pajak yang dibayarkan dapat ditekan seminimal mungkin.</w:t>
      </w:r>
      <w:r w:rsidRPr="00CE6BD3">
        <w:rPr>
          <w:rStyle w:val="selectable-text"/>
        </w:rPr>
        <w:t xml:space="preserve"> Apabila menggunakan hutang, salah satu beban bunga atas hutang dipotong dari jumlah pajak penghasilan yang terutang dan menjadi tanggung jawab pelaku perusahaan untuk membayarnya kembali </w:t>
      </w:r>
      <w:r>
        <w:rPr>
          <w:rStyle w:val="selectable-text"/>
        </w:rPr>
        <w:fldChar w:fldCharType="begin" w:fldLock="1"/>
      </w:r>
      <w:r>
        <w:rPr>
          <w:rStyle w:val="selectable-text"/>
        </w:rPr>
        <w:instrText>ADDIN CSL_CITATION {"citationItems":[{"id":"ITEM-1","itemData":{"author":[{"dropping-particle":"","family":"Lidia Wulandari","given":"Indria Widyastuti","non-dropping-particle":"","parse-names":false,"suffix":""}],"container-title":"JURNAL AKUNTANSI BISNIS DAN EKONOMI","id":"ITEM-1","issued":{"date-parts":[["2023"]]},"title":"Pengaruh Struktur Modal, Likuiditas Dan Ukuran Perusahaan Terhadap Profitabilitas Pada Sub Sektor Food And Beverage Di Bursa Efek Indonesia Periode 2020 - 2022","type":"article-journal","volume":"9"},"uris":["http://www.mendeley.com/documents/?uuid=57037582-e94c-49f3-9c62-7e6603f2022e"]}],"mendeley":{"formattedCitation":"(Lidia Wulandari, 2023)","plainTextFormattedCitation":"(Lidia Wulandari, 2023)","previouslyFormattedCitation":"(Lidia Wulandari, 2023)"},"properties":{"noteIndex":0},"schema":"https://github.com/citation-style-language/schema/raw/master/csl-citation.json"}</w:instrText>
      </w:r>
      <w:r>
        <w:rPr>
          <w:rStyle w:val="selectable-text"/>
        </w:rPr>
        <w:fldChar w:fldCharType="separate"/>
      </w:r>
      <w:r w:rsidRPr="00E9536A">
        <w:rPr>
          <w:rStyle w:val="selectable-text"/>
        </w:rPr>
        <w:t>(Lidia Wulandari, 2023)</w:t>
      </w:r>
      <w:r>
        <w:rPr>
          <w:rStyle w:val="selectable-text"/>
        </w:rPr>
        <w:fldChar w:fldCharType="end"/>
      </w:r>
      <w:r w:rsidRPr="00CE6BD3">
        <w:rPr>
          <w:rStyle w:val="selectable-text"/>
        </w:rPr>
        <w:t xml:space="preserve">. Pasal 6:1 Undang-Undang Nomor 17 Tahun 2000 menyatakan bahwa beban bunga dapat dikurangkan dari penghasilan untuk memperoleh penghasilan kena pajak. klausul yang mengatur penggunaan modal atau hutang untuk menggunakan investasi yang sepenuhnya dimiliki oleh pemegang saham guna menghitung persentase penggunaan dana investasi yang tepat untuk usaha. Hal ini mungkin bermanfaat dalam mengurangi bahaya signifikan yang </w:t>
      </w:r>
      <w:r>
        <w:rPr>
          <w:rStyle w:val="selectable-text"/>
        </w:rPr>
        <w:t xml:space="preserve">terkait dengan penggunaan utang </w:t>
      </w:r>
      <w:r>
        <w:rPr>
          <w:rStyle w:val="selectable-text"/>
          <w:lang w:val="en-US"/>
        </w:rPr>
        <w:t>s</w:t>
      </w:r>
      <w:r w:rsidRPr="00CE6BD3">
        <w:rPr>
          <w:rStyle w:val="selectable-text"/>
        </w:rPr>
        <w:t>eperti sebelumnya</w:t>
      </w:r>
      <w:r>
        <w:rPr>
          <w:rStyle w:val="selectable-text"/>
          <w:lang w:val="en-US"/>
        </w:rPr>
        <w:t>.</w:t>
      </w:r>
    </w:p>
    <w:p w14:paraId="6D09517A" w14:textId="77777777" w:rsidR="00D91A46" w:rsidRDefault="00D91A46" w:rsidP="00D91A46">
      <w:pPr>
        <w:tabs>
          <w:tab w:val="left" w:pos="142"/>
        </w:tabs>
        <w:ind w:firstLine="142"/>
        <w:jc w:val="lowKashida"/>
        <w:rPr>
          <w:rStyle w:val="selectable-text"/>
          <w:lang w:val="en-US"/>
        </w:rPr>
      </w:pPr>
    </w:p>
    <w:p w14:paraId="19879DD9" w14:textId="77777777" w:rsidR="00D91A46" w:rsidRPr="00CE6BD3" w:rsidRDefault="00D91A46" w:rsidP="00D91A46">
      <w:pPr>
        <w:tabs>
          <w:tab w:val="left" w:pos="142"/>
        </w:tabs>
        <w:ind w:firstLine="0"/>
        <w:jc w:val="lowKashida"/>
        <w:rPr>
          <w:rStyle w:val="selectable-text"/>
          <w:lang w:val="en-US"/>
        </w:rPr>
      </w:pPr>
    </w:p>
    <w:p w14:paraId="02BF504C" w14:textId="77777777" w:rsidR="00D91A46" w:rsidRPr="00CE6BD3" w:rsidRDefault="00D91A46" w:rsidP="00D91A46">
      <w:pPr>
        <w:ind w:firstLine="0"/>
        <w:jc w:val="lowKashida"/>
        <w:rPr>
          <w:lang w:val="en-US"/>
        </w:rPr>
      </w:pPr>
      <w:r w:rsidRPr="00CE6BD3">
        <w:rPr>
          <w:rStyle w:val="selectable-text"/>
        </w:rPr>
        <w:t>Seperti yang telah disebutkan sebelumnya, data utang pajak penghasilan badan perusahaan untuk penelitian ini adalah sebagai berikut:</w:t>
      </w:r>
    </w:p>
    <w:p w14:paraId="00782B83" w14:textId="77777777" w:rsidR="00D91A46" w:rsidRDefault="00D91A46" w:rsidP="00D91A46">
      <w:pPr>
        <w:ind w:left="2160"/>
        <w:jc w:val="lowKashida"/>
        <w:rPr>
          <w:rFonts w:asciiTheme="majorBidi" w:hAnsiTheme="majorBidi" w:cstheme="majorBidi"/>
          <w:szCs w:val="24"/>
        </w:rPr>
      </w:pPr>
      <w:r w:rsidRPr="00650379">
        <w:rPr>
          <w:rFonts w:asciiTheme="majorBidi" w:hAnsiTheme="majorBidi" w:cstheme="majorBidi"/>
          <w:szCs w:val="24"/>
        </w:rPr>
        <w:lastRenderedPageBreak/>
        <w:t>Tabel 1.1 PPh Badan Terutang</w:t>
      </w:r>
    </w:p>
    <w:p w14:paraId="1D29E10A" w14:textId="77777777" w:rsidR="00D91A46" w:rsidRPr="006C5EBE" w:rsidRDefault="00D91A46" w:rsidP="00D91A46">
      <w:pPr>
        <w:ind w:hanging="284"/>
        <w:jc w:val="lowKashida"/>
        <w:rPr>
          <w:rFonts w:asciiTheme="majorBidi" w:hAnsiTheme="majorBidi" w:cstheme="majorBidi"/>
          <w:szCs w:val="24"/>
          <w:lang w:val="en-US"/>
        </w:rPr>
      </w:pPr>
      <w:r>
        <w:rPr>
          <w:rFonts w:asciiTheme="majorBidi" w:hAnsiTheme="majorBidi" w:cstheme="majorBidi"/>
          <w:szCs w:val="24"/>
          <w:lang w:val="en-US"/>
        </w:rPr>
        <w:drawing>
          <wp:inline distT="0" distB="0" distL="0" distR="0" wp14:anchorId="4E927EFB" wp14:editId="651E39A6">
            <wp:extent cx="536257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4-07-15 at 23.19.47.jpeg"/>
                    <pic:cNvPicPr/>
                  </pic:nvPicPr>
                  <pic:blipFill>
                    <a:blip r:embed="rId7">
                      <a:extLst>
                        <a:ext uri="{28A0092B-C50C-407E-A947-70E740481C1C}">
                          <a14:useLocalDpi xmlns:a14="http://schemas.microsoft.com/office/drawing/2010/main" val="0"/>
                        </a:ext>
                      </a:extLst>
                    </a:blip>
                    <a:stretch>
                      <a:fillRect/>
                    </a:stretch>
                  </pic:blipFill>
                  <pic:spPr>
                    <a:xfrm>
                      <a:off x="0" y="0"/>
                      <a:ext cx="5362575" cy="2933700"/>
                    </a:xfrm>
                    <a:prstGeom prst="rect">
                      <a:avLst/>
                    </a:prstGeom>
                  </pic:spPr>
                </pic:pic>
              </a:graphicData>
            </a:graphic>
          </wp:inline>
        </w:drawing>
      </w:r>
      <w:r w:rsidRPr="00650379">
        <w:rPr>
          <w:rFonts w:asciiTheme="majorBidi" w:hAnsiTheme="majorBidi" w:cstheme="majorBidi"/>
          <w:szCs w:val="24"/>
        </w:rPr>
        <w:t xml:space="preserve"> </w:t>
      </w:r>
    </w:p>
    <w:p w14:paraId="6AAAF9B1" w14:textId="77777777" w:rsidR="00D91A46" w:rsidRPr="00CE6BD3" w:rsidRDefault="00D91A46" w:rsidP="00D91A46">
      <w:pPr>
        <w:pStyle w:val="NoSpacing"/>
        <w:ind w:firstLine="0"/>
      </w:pPr>
    </w:p>
    <w:p w14:paraId="3C39E9C8" w14:textId="77777777" w:rsidR="00D91A46" w:rsidRPr="00CE6BD3" w:rsidRDefault="00D91A46" w:rsidP="00D91A46">
      <w:pPr>
        <w:pStyle w:val="NoSpacing"/>
        <w:ind w:firstLine="0"/>
      </w:pPr>
    </w:p>
    <w:p w14:paraId="14CA8429" w14:textId="77777777" w:rsidR="00D91A46" w:rsidRPr="00CE6BD3" w:rsidRDefault="00D91A46" w:rsidP="00D91A46">
      <w:pPr>
        <w:pStyle w:val="NoSpacing"/>
        <w:ind w:firstLine="0"/>
      </w:pPr>
      <w:r w:rsidRPr="006C5EBE">
        <w:t>Tabel 2.1 Debt to Equity Ratio (DER) dan Long Term Debt to Asset Ratio (LDAR)</w:t>
      </w:r>
    </w:p>
    <w:tbl>
      <w:tblPr>
        <w:tblStyle w:val="TableGrid"/>
        <w:tblW w:w="0" w:type="auto"/>
        <w:tblLayout w:type="fixed"/>
        <w:tblLook w:val="04A0" w:firstRow="1" w:lastRow="0" w:firstColumn="1" w:lastColumn="0" w:noHBand="0" w:noVBand="1"/>
      </w:tblPr>
      <w:tblGrid>
        <w:gridCol w:w="421"/>
        <w:gridCol w:w="707"/>
        <w:gridCol w:w="850"/>
        <w:gridCol w:w="850"/>
        <w:gridCol w:w="850"/>
        <w:gridCol w:w="850"/>
        <w:gridCol w:w="850"/>
        <w:gridCol w:w="850"/>
        <w:gridCol w:w="850"/>
        <w:gridCol w:w="850"/>
      </w:tblGrid>
      <w:tr w:rsidR="00D91A46" w:rsidRPr="00CE6BD3" w14:paraId="33E6A366" w14:textId="77777777" w:rsidTr="006C0531">
        <w:tc>
          <w:tcPr>
            <w:tcW w:w="421" w:type="dxa"/>
          </w:tcPr>
          <w:p w14:paraId="383CDEF4" w14:textId="77777777" w:rsidR="00D91A46" w:rsidRPr="00CE6BD3" w:rsidRDefault="00D91A46" w:rsidP="006C0531">
            <w:pPr>
              <w:pStyle w:val="NoSpacing"/>
              <w:ind w:firstLine="0"/>
              <w:jc w:val="center"/>
              <w:rPr>
                <w:rStyle w:val="Heading1Char"/>
                <w:b w:val="0"/>
              </w:rPr>
            </w:pPr>
            <w:bookmarkStart w:id="6" w:name="_Toc136359852"/>
            <w:bookmarkStart w:id="7" w:name="_Toc136384960"/>
            <w:bookmarkStart w:id="8" w:name="_Toc136447681"/>
            <w:bookmarkStart w:id="9" w:name="_Toc136452183"/>
            <w:r w:rsidRPr="00CE6BD3">
              <w:rPr>
                <w:rStyle w:val="Heading1Char"/>
              </w:rPr>
              <w:t>No</w:t>
            </w:r>
            <w:bookmarkEnd w:id="6"/>
            <w:bookmarkEnd w:id="7"/>
            <w:bookmarkEnd w:id="8"/>
            <w:bookmarkEnd w:id="9"/>
          </w:p>
        </w:tc>
        <w:tc>
          <w:tcPr>
            <w:tcW w:w="707" w:type="dxa"/>
          </w:tcPr>
          <w:p w14:paraId="12420A1D" w14:textId="77777777" w:rsidR="00D91A46" w:rsidRPr="00CE6BD3" w:rsidRDefault="00D91A46" w:rsidP="006C0531">
            <w:pPr>
              <w:pStyle w:val="NoSpacing"/>
              <w:ind w:firstLine="0"/>
              <w:jc w:val="center"/>
              <w:rPr>
                <w:rStyle w:val="Heading1Char"/>
                <w:b w:val="0"/>
              </w:rPr>
            </w:pPr>
            <w:bookmarkStart w:id="10" w:name="_Toc136359853"/>
            <w:bookmarkStart w:id="11" w:name="_Toc136384961"/>
            <w:bookmarkStart w:id="12" w:name="_Toc136447682"/>
            <w:bookmarkStart w:id="13" w:name="_Toc136452184"/>
            <w:r w:rsidRPr="00CE6BD3">
              <w:rPr>
                <w:rStyle w:val="Heading1Char"/>
              </w:rPr>
              <w:t>Kode</w:t>
            </w:r>
            <w:bookmarkEnd w:id="10"/>
            <w:bookmarkEnd w:id="11"/>
            <w:bookmarkEnd w:id="12"/>
            <w:bookmarkEnd w:id="13"/>
          </w:p>
        </w:tc>
        <w:tc>
          <w:tcPr>
            <w:tcW w:w="850" w:type="dxa"/>
          </w:tcPr>
          <w:p w14:paraId="0A8ABB5A" w14:textId="77777777" w:rsidR="00D91A46" w:rsidRPr="00CE6BD3" w:rsidRDefault="00D91A46" w:rsidP="006C0531">
            <w:pPr>
              <w:pStyle w:val="NoSpacing"/>
              <w:ind w:firstLine="0"/>
              <w:jc w:val="center"/>
              <w:rPr>
                <w:rStyle w:val="Heading1Char"/>
                <w:b w:val="0"/>
              </w:rPr>
            </w:pPr>
          </w:p>
          <w:p w14:paraId="074223BF" w14:textId="77777777" w:rsidR="00D91A46" w:rsidRPr="00CE6BD3" w:rsidRDefault="00D91A46" w:rsidP="006C0531">
            <w:pPr>
              <w:pStyle w:val="NoSpacing"/>
              <w:ind w:firstLine="0"/>
              <w:jc w:val="center"/>
              <w:rPr>
                <w:rStyle w:val="Heading1Char"/>
                <w:b w:val="0"/>
              </w:rPr>
            </w:pPr>
            <w:bookmarkStart w:id="14" w:name="_Toc136359854"/>
            <w:bookmarkStart w:id="15" w:name="_Toc136384962"/>
            <w:bookmarkStart w:id="16" w:name="_Toc136447683"/>
            <w:bookmarkStart w:id="17" w:name="_Toc136452185"/>
            <w:r w:rsidRPr="00CE6BD3">
              <w:rPr>
                <w:rStyle w:val="Heading1Char"/>
              </w:rPr>
              <w:t>2019</w:t>
            </w:r>
            <w:bookmarkEnd w:id="14"/>
            <w:bookmarkEnd w:id="15"/>
            <w:bookmarkEnd w:id="16"/>
            <w:bookmarkEnd w:id="17"/>
          </w:p>
        </w:tc>
        <w:tc>
          <w:tcPr>
            <w:tcW w:w="850" w:type="dxa"/>
          </w:tcPr>
          <w:p w14:paraId="0F6204C5" w14:textId="77777777" w:rsidR="00D91A46" w:rsidRPr="00CE6BD3" w:rsidRDefault="00D91A46" w:rsidP="006C0531">
            <w:pPr>
              <w:pStyle w:val="NoSpacing"/>
              <w:ind w:firstLine="0"/>
              <w:jc w:val="center"/>
              <w:rPr>
                <w:rStyle w:val="Heading1Char"/>
                <w:b w:val="0"/>
              </w:rPr>
            </w:pPr>
            <w:bookmarkStart w:id="18" w:name="_Toc136359855"/>
            <w:bookmarkStart w:id="19" w:name="_Toc136384963"/>
            <w:bookmarkStart w:id="20" w:name="_Toc136447684"/>
            <w:bookmarkStart w:id="21" w:name="_Toc136452186"/>
            <w:r w:rsidRPr="00CE6BD3">
              <w:rPr>
                <w:rStyle w:val="Heading1Char"/>
              </w:rPr>
              <w:t>LDAR</w:t>
            </w:r>
            <w:bookmarkEnd w:id="18"/>
            <w:bookmarkEnd w:id="19"/>
            <w:bookmarkEnd w:id="20"/>
            <w:bookmarkEnd w:id="21"/>
          </w:p>
          <w:p w14:paraId="3E5DBDC0" w14:textId="77777777" w:rsidR="00D91A46" w:rsidRPr="00CE6BD3" w:rsidRDefault="00D91A46" w:rsidP="006C0531">
            <w:pPr>
              <w:pStyle w:val="NoSpacing"/>
              <w:ind w:firstLine="0"/>
              <w:jc w:val="center"/>
              <w:rPr>
                <w:rStyle w:val="Heading1Char"/>
                <w:b w:val="0"/>
              </w:rPr>
            </w:pPr>
            <w:bookmarkStart w:id="22" w:name="_Toc136359856"/>
            <w:bookmarkStart w:id="23" w:name="_Toc136384964"/>
            <w:bookmarkStart w:id="24" w:name="_Toc136447685"/>
            <w:bookmarkStart w:id="25" w:name="_Toc136452187"/>
            <w:r w:rsidRPr="00CE6BD3">
              <w:rPr>
                <w:rStyle w:val="Heading1Char"/>
              </w:rPr>
              <w:t>2020</w:t>
            </w:r>
            <w:bookmarkEnd w:id="22"/>
            <w:bookmarkEnd w:id="23"/>
            <w:bookmarkEnd w:id="24"/>
            <w:bookmarkEnd w:id="25"/>
          </w:p>
        </w:tc>
        <w:tc>
          <w:tcPr>
            <w:tcW w:w="850" w:type="dxa"/>
          </w:tcPr>
          <w:p w14:paraId="2D4553D4" w14:textId="77777777" w:rsidR="00D91A46" w:rsidRPr="00CE6BD3" w:rsidRDefault="00D91A46" w:rsidP="006C0531">
            <w:pPr>
              <w:pStyle w:val="NoSpacing"/>
              <w:ind w:firstLine="0"/>
              <w:jc w:val="center"/>
              <w:rPr>
                <w:rStyle w:val="Heading1Char"/>
                <w:b w:val="0"/>
              </w:rPr>
            </w:pPr>
          </w:p>
          <w:p w14:paraId="57ADC721" w14:textId="77777777" w:rsidR="00D91A46" w:rsidRPr="00CE6BD3" w:rsidRDefault="00D91A46" w:rsidP="006C0531">
            <w:pPr>
              <w:pStyle w:val="NoSpacing"/>
              <w:ind w:firstLine="0"/>
              <w:jc w:val="center"/>
              <w:rPr>
                <w:rStyle w:val="Heading1Char"/>
                <w:b w:val="0"/>
              </w:rPr>
            </w:pPr>
            <w:bookmarkStart w:id="26" w:name="_Toc136359857"/>
            <w:bookmarkStart w:id="27" w:name="_Toc136384965"/>
            <w:bookmarkStart w:id="28" w:name="_Toc136447686"/>
            <w:bookmarkStart w:id="29" w:name="_Toc136452188"/>
            <w:r w:rsidRPr="00CE6BD3">
              <w:rPr>
                <w:rStyle w:val="Heading1Char"/>
              </w:rPr>
              <w:t>2021</w:t>
            </w:r>
            <w:bookmarkEnd w:id="26"/>
            <w:bookmarkEnd w:id="27"/>
            <w:bookmarkEnd w:id="28"/>
            <w:bookmarkEnd w:id="29"/>
          </w:p>
        </w:tc>
        <w:tc>
          <w:tcPr>
            <w:tcW w:w="850" w:type="dxa"/>
          </w:tcPr>
          <w:p w14:paraId="40BD1208" w14:textId="77777777" w:rsidR="00D91A46" w:rsidRPr="00CE6BD3" w:rsidRDefault="00D91A46" w:rsidP="006C0531">
            <w:pPr>
              <w:pStyle w:val="NoSpacing"/>
              <w:ind w:firstLine="0"/>
              <w:jc w:val="center"/>
              <w:rPr>
                <w:rStyle w:val="Heading1Char"/>
                <w:b w:val="0"/>
              </w:rPr>
            </w:pPr>
          </w:p>
          <w:p w14:paraId="30699CF7" w14:textId="77777777" w:rsidR="00D91A46" w:rsidRPr="00CE6BD3" w:rsidRDefault="00D91A46" w:rsidP="006C0531">
            <w:pPr>
              <w:pStyle w:val="NoSpacing"/>
              <w:ind w:firstLine="0"/>
              <w:jc w:val="center"/>
              <w:rPr>
                <w:rStyle w:val="Heading1Char"/>
                <w:b w:val="0"/>
              </w:rPr>
            </w:pPr>
            <w:r w:rsidRPr="00CE6BD3">
              <w:rPr>
                <w:rStyle w:val="Heading1Char"/>
              </w:rPr>
              <w:t>2022</w:t>
            </w:r>
          </w:p>
        </w:tc>
        <w:tc>
          <w:tcPr>
            <w:tcW w:w="850" w:type="dxa"/>
          </w:tcPr>
          <w:p w14:paraId="5EB78453" w14:textId="77777777" w:rsidR="00D91A46" w:rsidRPr="00CE6BD3" w:rsidRDefault="00D91A46" w:rsidP="006C0531">
            <w:pPr>
              <w:pStyle w:val="NoSpacing"/>
              <w:ind w:firstLine="0"/>
              <w:jc w:val="center"/>
              <w:rPr>
                <w:rStyle w:val="Heading1Char"/>
                <w:b w:val="0"/>
              </w:rPr>
            </w:pPr>
          </w:p>
          <w:p w14:paraId="415C40C4" w14:textId="77777777" w:rsidR="00D91A46" w:rsidRPr="00CE6BD3" w:rsidRDefault="00D91A46" w:rsidP="006C0531">
            <w:pPr>
              <w:pStyle w:val="NoSpacing"/>
              <w:ind w:firstLine="0"/>
              <w:jc w:val="center"/>
              <w:rPr>
                <w:rStyle w:val="Heading1Char"/>
                <w:b w:val="0"/>
              </w:rPr>
            </w:pPr>
            <w:bookmarkStart w:id="30" w:name="_Toc136359858"/>
            <w:bookmarkStart w:id="31" w:name="_Toc136384966"/>
            <w:bookmarkStart w:id="32" w:name="_Toc136447687"/>
            <w:bookmarkStart w:id="33" w:name="_Toc136452189"/>
            <w:r w:rsidRPr="00CE6BD3">
              <w:rPr>
                <w:rStyle w:val="Heading1Char"/>
              </w:rPr>
              <w:t>2019</w:t>
            </w:r>
            <w:bookmarkEnd w:id="30"/>
            <w:bookmarkEnd w:id="31"/>
            <w:bookmarkEnd w:id="32"/>
            <w:bookmarkEnd w:id="33"/>
          </w:p>
        </w:tc>
        <w:tc>
          <w:tcPr>
            <w:tcW w:w="850" w:type="dxa"/>
          </w:tcPr>
          <w:p w14:paraId="0B2D662A" w14:textId="77777777" w:rsidR="00D91A46" w:rsidRPr="00CE6BD3" w:rsidRDefault="00D91A46" w:rsidP="006C0531">
            <w:pPr>
              <w:pStyle w:val="NoSpacing"/>
              <w:ind w:firstLine="0"/>
              <w:jc w:val="center"/>
              <w:rPr>
                <w:rStyle w:val="Heading1Char"/>
                <w:b w:val="0"/>
              </w:rPr>
            </w:pPr>
            <w:bookmarkStart w:id="34" w:name="_Toc136359859"/>
            <w:bookmarkStart w:id="35" w:name="_Toc136384967"/>
            <w:bookmarkStart w:id="36" w:name="_Toc136447688"/>
            <w:bookmarkStart w:id="37" w:name="_Toc136452190"/>
            <w:r w:rsidRPr="00CE6BD3">
              <w:rPr>
                <w:rStyle w:val="Heading1Char"/>
              </w:rPr>
              <w:t>DER</w:t>
            </w:r>
            <w:bookmarkEnd w:id="34"/>
            <w:bookmarkEnd w:id="35"/>
            <w:bookmarkEnd w:id="36"/>
            <w:bookmarkEnd w:id="37"/>
          </w:p>
          <w:p w14:paraId="67B50D42" w14:textId="77777777" w:rsidR="00D91A46" w:rsidRPr="00CE6BD3" w:rsidRDefault="00D91A46" w:rsidP="006C0531">
            <w:pPr>
              <w:pStyle w:val="NoSpacing"/>
              <w:ind w:firstLine="0"/>
              <w:jc w:val="center"/>
              <w:rPr>
                <w:rStyle w:val="Heading1Char"/>
                <w:b w:val="0"/>
              </w:rPr>
            </w:pPr>
            <w:bookmarkStart w:id="38" w:name="_Toc136359860"/>
            <w:bookmarkStart w:id="39" w:name="_Toc136384968"/>
            <w:bookmarkStart w:id="40" w:name="_Toc136447689"/>
            <w:bookmarkStart w:id="41" w:name="_Toc136452191"/>
            <w:r w:rsidRPr="00CE6BD3">
              <w:rPr>
                <w:rStyle w:val="Heading1Char"/>
              </w:rPr>
              <w:t>2020</w:t>
            </w:r>
            <w:bookmarkEnd w:id="38"/>
            <w:bookmarkEnd w:id="39"/>
            <w:bookmarkEnd w:id="40"/>
            <w:bookmarkEnd w:id="41"/>
          </w:p>
        </w:tc>
        <w:tc>
          <w:tcPr>
            <w:tcW w:w="850" w:type="dxa"/>
          </w:tcPr>
          <w:p w14:paraId="27CA7911" w14:textId="77777777" w:rsidR="00D91A46" w:rsidRPr="00CE6BD3" w:rsidRDefault="00D91A46" w:rsidP="006C0531">
            <w:pPr>
              <w:pStyle w:val="NoSpacing"/>
              <w:ind w:firstLine="0"/>
              <w:jc w:val="center"/>
              <w:rPr>
                <w:rStyle w:val="Heading1Char"/>
                <w:b w:val="0"/>
              </w:rPr>
            </w:pPr>
          </w:p>
          <w:p w14:paraId="1D933DB8" w14:textId="77777777" w:rsidR="00D91A46" w:rsidRPr="00CE6BD3" w:rsidRDefault="00D91A46" w:rsidP="006C0531">
            <w:pPr>
              <w:pStyle w:val="NoSpacing"/>
              <w:ind w:firstLine="0"/>
              <w:jc w:val="center"/>
              <w:rPr>
                <w:rStyle w:val="Heading1Char"/>
                <w:b w:val="0"/>
              </w:rPr>
            </w:pPr>
            <w:bookmarkStart w:id="42" w:name="_Toc136359861"/>
            <w:bookmarkStart w:id="43" w:name="_Toc136384969"/>
            <w:bookmarkStart w:id="44" w:name="_Toc136447690"/>
            <w:bookmarkStart w:id="45" w:name="_Toc136452192"/>
            <w:r w:rsidRPr="00CE6BD3">
              <w:rPr>
                <w:rStyle w:val="Heading1Char"/>
              </w:rPr>
              <w:t>2021</w:t>
            </w:r>
            <w:bookmarkEnd w:id="42"/>
            <w:bookmarkEnd w:id="43"/>
            <w:bookmarkEnd w:id="44"/>
            <w:bookmarkEnd w:id="45"/>
          </w:p>
        </w:tc>
        <w:tc>
          <w:tcPr>
            <w:tcW w:w="850" w:type="dxa"/>
          </w:tcPr>
          <w:p w14:paraId="34B38CB1" w14:textId="77777777" w:rsidR="00D91A46" w:rsidRPr="00CE6BD3" w:rsidRDefault="00D91A46" w:rsidP="006C0531">
            <w:pPr>
              <w:pStyle w:val="NoSpacing"/>
              <w:ind w:firstLine="0"/>
              <w:jc w:val="center"/>
              <w:rPr>
                <w:rStyle w:val="Heading1Char"/>
                <w:b w:val="0"/>
              </w:rPr>
            </w:pPr>
          </w:p>
          <w:p w14:paraId="67293BC3" w14:textId="77777777" w:rsidR="00D91A46" w:rsidRPr="00CE6BD3" w:rsidRDefault="00D91A46" w:rsidP="006C0531">
            <w:pPr>
              <w:pStyle w:val="NoSpacing"/>
              <w:ind w:firstLine="0"/>
              <w:jc w:val="center"/>
              <w:rPr>
                <w:rStyle w:val="Heading1Char"/>
                <w:b w:val="0"/>
              </w:rPr>
            </w:pPr>
            <w:r w:rsidRPr="00CE6BD3">
              <w:rPr>
                <w:rStyle w:val="Heading1Char"/>
              </w:rPr>
              <w:t>2022</w:t>
            </w:r>
          </w:p>
        </w:tc>
      </w:tr>
      <w:tr w:rsidR="00D91A46" w:rsidRPr="00CE6BD3" w14:paraId="6FC60C58" w14:textId="77777777" w:rsidTr="006C0531">
        <w:tc>
          <w:tcPr>
            <w:tcW w:w="421" w:type="dxa"/>
          </w:tcPr>
          <w:p w14:paraId="321747B0" w14:textId="77777777" w:rsidR="00D91A46" w:rsidRPr="00CE6BD3" w:rsidRDefault="00D91A46" w:rsidP="006C0531">
            <w:pPr>
              <w:pStyle w:val="NoSpacing"/>
              <w:ind w:firstLine="0"/>
              <w:jc w:val="center"/>
              <w:rPr>
                <w:rStyle w:val="Heading1Char"/>
                <w:b w:val="0"/>
              </w:rPr>
            </w:pPr>
            <w:bookmarkStart w:id="46" w:name="_Toc136359862"/>
            <w:bookmarkStart w:id="47" w:name="_Toc136384970"/>
            <w:bookmarkStart w:id="48" w:name="_Toc136447691"/>
            <w:bookmarkStart w:id="49" w:name="_Toc136452193"/>
            <w:r w:rsidRPr="00CE6BD3">
              <w:rPr>
                <w:rStyle w:val="Heading1Char"/>
              </w:rPr>
              <w:t>1</w:t>
            </w:r>
            <w:bookmarkEnd w:id="46"/>
            <w:bookmarkEnd w:id="47"/>
            <w:bookmarkEnd w:id="48"/>
            <w:bookmarkEnd w:id="49"/>
          </w:p>
        </w:tc>
        <w:tc>
          <w:tcPr>
            <w:tcW w:w="707" w:type="dxa"/>
          </w:tcPr>
          <w:p w14:paraId="4225F74A" w14:textId="77777777" w:rsidR="00D91A46" w:rsidRPr="00CE6BD3" w:rsidRDefault="00D91A46" w:rsidP="006C0531">
            <w:pPr>
              <w:ind w:firstLine="0"/>
              <w:jc w:val="center"/>
              <w:rPr>
                <w:rStyle w:val="Heading1Char"/>
                <w:b w:val="0"/>
              </w:rPr>
            </w:pPr>
            <w:r w:rsidRPr="00CE6BD3">
              <w:rPr>
                <w:rStyle w:val="Heading1Char"/>
              </w:rPr>
              <w:t>DVLA</w:t>
            </w:r>
          </w:p>
        </w:tc>
        <w:tc>
          <w:tcPr>
            <w:tcW w:w="850" w:type="dxa"/>
          </w:tcPr>
          <w:p w14:paraId="458CAF3E" w14:textId="77777777" w:rsidR="00D91A46" w:rsidRPr="00CE6BD3" w:rsidRDefault="00D91A46" w:rsidP="006C0531">
            <w:pPr>
              <w:pStyle w:val="NoSpacing"/>
              <w:ind w:firstLine="0"/>
              <w:jc w:val="center"/>
              <w:rPr>
                <w:rStyle w:val="Heading1Char"/>
                <w:b w:val="0"/>
              </w:rPr>
            </w:pPr>
            <w:r w:rsidRPr="00CE6BD3">
              <w:rPr>
                <w:rStyle w:val="Heading1Char"/>
              </w:rPr>
              <w:t>0,000286</w:t>
            </w:r>
          </w:p>
        </w:tc>
        <w:tc>
          <w:tcPr>
            <w:tcW w:w="850" w:type="dxa"/>
          </w:tcPr>
          <w:p w14:paraId="412BC3CD" w14:textId="77777777" w:rsidR="00D91A46" w:rsidRPr="00CE6BD3" w:rsidRDefault="00D91A46" w:rsidP="006C0531">
            <w:pPr>
              <w:pStyle w:val="NoSpacing"/>
              <w:ind w:firstLine="0"/>
              <w:rPr>
                <w:rStyle w:val="Heading1Char"/>
                <w:b w:val="0"/>
              </w:rPr>
            </w:pPr>
            <w:r w:rsidRPr="00CE6BD3">
              <w:rPr>
                <w:rStyle w:val="Heading1Char"/>
              </w:rPr>
              <w:t>0,000332</w:t>
            </w:r>
          </w:p>
        </w:tc>
        <w:tc>
          <w:tcPr>
            <w:tcW w:w="850" w:type="dxa"/>
          </w:tcPr>
          <w:p w14:paraId="470366FD" w14:textId="77777777" w:rsidR="00D91A46" w:rsidRPr="00CE6BD3" w:rsidRDefault="00D91A46" w:rsidP="006C0531">
            <w:pPr>
              <w:pStyle w:val="NoSpacing"/>
              <w:ind w:firstLine="0"/>
              <w:rPr>
                <w:rStyle w:val="Heading1Char"/>
                <w:b w:val="0"/>
              </w:rPr>
            </w:pPr>
            <w:r w:rsidRPr="00CE6BD3">
              <w:rPr>
                <w:rStyle w:val="Heading1Char"/>
              </w:rPr>
              <w:t>0,331987</w:t>
            </w:r>
          </w:p>
        </w:tc>
        <w:tc>
          <w:tcPr>
            <w:tcW w:w="850" w:type="dxa"/>
          </w:tcPr>
          <w:p w14:paraId="6892D7BE" w14:textId="77777777" w:rsidR="00D91A46" w:rsidRPr="00CE6BD3" w:rsidRDefault="00D91A46" w:rsidP="006C0531">
            <w:pPr>
              <w:pStyle w:val="NoSpacing"/>
              <w:ind w:firstLine="0"/>
              <w:jc w:val="center"/>
            </w:pPr>
            <w:r w:rsidRPr="00CE6BD3">
              <w:t>0,301382</w:t>
            </w:r>
          </w:p>
        </w:tc>
        <w:tc>
          <w:tcPr>
            <w:tcW w:w="850" w:type="dxa"/>
          </w:tcPr>
          <w:p w14:paraId="646B7A13" w14:textId="77777777" w:rsidR="00D91A46" w:rsidRPr="00CE6BD3" w:rsidRDefault="00D91A46" w:rsidP="006C0531">
            <w:pPr>
              <w:pStyle w:val="NoSpacing"/>
              <w:ind w:firstLine="0"/>
              <w:jc w:val="center"/>
              <w:rPr>
                <w:rStyle w:val="Heading1Char"/>
                <w:b w:val="0"/>
              </w:rPr>
            </w:pPr>
            <w:r w:rsidRPr="00CE6BD3">
              <w:rPr>
                <w:rStyle w:val="Heading1Char"/>
              </w:rPr>
              <w:t>0,401110</w:t>
            </w:r>
          </w:p>
        </w:tc>
        <w:tc>
          <w:tcPr>
            <w:tcW w:w="850" w:type="dxa"/>
          </w:tcPr>
          <w:p w14:paraId="0A3713E1" w14:textId="77777777" w:rsidR="00D91A46" w:rsidRPr="00CE6BD3" w:rsidRDefault="00D91A46" w:rsidP="006C0531">
            <w:pPr>
              <w:pStyle w:val="NoSpacing"/>
              <w:ind w:firstLine="0"/>
              <w:jc w:val="center"/>
              <w:rPr>
                <w:rStyle w:val="Heading1Char"/>
                <w:b w:val="0"/>
              </w:rPr>
            </w:pPr>
            <w:r w:rsidRPr="00CE6BD3">
              <w:rPr>
                <w:rStyle w:val="Heading1Char"/>
              </w:rPr>
              <w:t>0,497950</w:t>
            </w:r>
          </w:p>
        </w:tc>
        <w:tc>
          <w:tcPr>
            <w:tcW w:w="850" w:type="dxa"/>
          </w:tcPr>
          <w:p w14:paraId="7E026491" w14:textId="77777777" w:rsidR="00D91A46" w:rsidRPr="00CE6BD3" w:rsidRDefault="00D91A46" w:rsidP="006C0531">
            <w:pPr>
              <w:pStyle w:val="NoSpacing"/>
              <w:ind w:firstLine="0"/>
              <w:jc w:val="center"/>
              <w:rPr>
                <w:rStyle w:val="Heading1Char"/>
                <w:b w:val="0"/>
              </w:rPr>
            </w:pPr>
            <w:r w:rsidRPr="00CE6BD3">
              <w:rPr>
                <w:rStyle w:val="Heading1Char"/>
              </w:rPr>
              <w:t>0,496977</w:t>
            </w:r>
          </w:p>
        </w:tc>
        <w:tc>
          <w:tcPr>
            <w:tcW w:w="850" w:type="dxa"/>
          </w:tcPr>
          <w:p w14:paraId="3CD919F8" w14:textId="77777777" w:rsidR="00D91A46" w:rsidRPr="00CE6BD3" w:rsidRDefault="00D91A46" w:rsidP="006C0531">
            <w:pPr>
              <w:pStyle w:val="NoSpacing"/>
              <w:ind w:firstLine="0"/>
              <w:jc w:val="center"/>
            </w:pPr>
            <w:r w:rsidRPr="00CE6BD3">
              <w:t>0,431398</w:t>
            </w:r>
          </w:p>
        </w:tc>
      </w:tr>
      <w:tr w:rsidR="00D91A46" w:rsidRPr="00CE6BD3" w14:paraId="66892DC8" w14:textId="77777777" w:rsidTr="006C0531">
        <w:tc>
          <w:tcPr>
            <w:tcW w:w="421" w:type="dxa"/>
          </w:tcPr>
          <w:p w14:paraId="1BD4703A" w14:textId="77777777" w:rsidR="00D91A46" w:rsidRPr="00CE6BD3" w:rsidRDefault="00D91A46" w:rsidP="006C0531">
            <w:pPr>
              <w:pStyle w:val="NoSpacing"/>
              <w:ind w:firstLine="0"/>
              <w:jc w:val="center"/>
              <w:rPr>
                <w:rStyle w:val="Heading1Char"/>
                <w:b w:val="0"/>
              </w:rPr>
            </w:pPr>
            <w:bookmarkStart w:id="50" w:name="_Toc136359863"/>
            <w:bookmarkStart w:id="51" w:name="_Toc136384971"/>
            <w:bookmarkStart w:id="52" w:name="_Toc136447692"/>
            <w:bookmarkStart w:id="53" w:name="_Toc136452194"/>
            <w:r w:rsidRPr="00CE6BD3">
              <w:rPr>
                <w:rStyle w:val="Heading1Char"/>
              </w:rPr>
              <w:t>2</w:t>
            </w:r>
            <w:bookmarkEnd w:id="50"/>
            <w:bookmarkEnd w:id="51"/>
            <w:bookmarkEnd w:id="52"/>
            <w:bookmarkEnd w:id="53"/>
          </w:p>
        </w:tc>
        <w:tc>
          <w:tcPr>
            <w:tcW w:w="707" w:type="dxa"/>
          </w:tcPr>
          <w:p w14:paraId="3FE2160C" w14:textId="77777777" w:rsidR="00D91A46" w:rsidRPr="00CE6BD3" w:rsidRDefault="00D91A46" w:rsidP="006C0531">
            <w:pPr>
              <w:ind w:firstLine="0"/>
              <w:jc w:val="center"/>
              <w:rPr>
                <w:rStyle w:val="Heading1Char"/>
                <w:b w:val="0"/>
              </w:rPr>
            </w:pPr>
            <w:r w:rsidRPr="00CE6BD3">
              <w:rPr>
                <w:rStyle w:val="Heading1Char"/>
              </w:rPr>
              <w:t>KAEF</w:t>
            </w:r>
          </w:p>
        </w:tc>
        <w:tc>
          <w:tcPr>
            <w:tcW w:w="850" w:type="dxa"/>
          </w:tcPr>
          <w:p w14:paraId="5F748DF1" w14:textId="77777777" w:rsidR="00D91A46" w:rsidRPr="00CE6BD3" w:rsidRDefault="00D91A46" w:rsidP="006C0531">
            <w:pPr>
              <w:pStyle w:val="NoSpacing"/>
              <w:ind w:firstLine="0"/>
              <w:jc w:val="center"/>
              <w:rPr>
                <w:rStyle w:val="Heading1Char"/>
                <w:b w:val="0"/>
              </w:rPr>
            </w:pPr>
            <w:r w:rsidRPr="00CE6BD3">
              <w:rPr>
                <w:rStyle w:val="Heading1Char"/>
              </w:rPr>
              <w:t>0,000596</w:t>
            </w:r>
          </w:p>
        </w:tc>
        <w:tc>
          <w:tcPr>
            <w:tcW w:w="850" w:type="dxa"/>
          </w:tcPr>
          <w:p w14:paraId="1576509D" w14:textId="77777777" w:rsidR="00D91A46" w:rsidRPr="00CE6BD3" w:rsidRDefault="00D91A46" w:rsidP="006C0531">
            <w:pPr>
              <w:pStyle w:val="NoSpacing"/>
              <w:ind w:firstLine="0"/>
              <w:jc w:val="center"/>
              <w:rPr>
                <w:rStyle w:val="Heading1Char"/>
                <w:b w:val="0"/>
              </w:rPr>
            </w:pPr>
            <w:r w:rsidRPr="00CE6BD3">
              <w:rPr>
                <w:rStyle w:val="Heading1Char"/>
              </w:rPr>
              <w:t>0,000595</w:t>
            </w:r>
          </w:p>
        </w:tc>
        <w:tc>
          <w:tcPr>
            <w:tcW w:w="850" w:type="dxa"/>
          </w:tcPr>
          <w:p w14:paraId="76FF4663" w14:textId="77777777" w:rsidR="00D91A46" w:rsidRPr="00CE6BD3" w:rsidRDefault="00D91A46" w:rsidP="006C0531">
            <w:pPr>
              <w:pStyle w:val="NoSpacing"/>
              <w:ind w:firstLine="0"/>
              <w:jc w:val="center"/>
              <w:rPr>
                <w:rStyle w:val="Heading1Char"/>
                <w:b w:val="0"/>
              </w:rPr>
            </w:pPr>
            <w:r w:rsidRPr="00CE6BD3">
              <w:rPr>
                <w:rStyle w:val="Heading1Char"/>
              </w:rPr>
              <w:t>0,592804</w:t>
            </w:r>
          </w:p>
        </w:tc>
        <w:tc>
          <w:tcPr>
            <w:tcW w:w="850" w:type="dxa"/>
          </w:tcPr>
          <w:p w14:paraId="3A3C3C60" w14:textId="77777777" w:rsidR="00D91A46" w:rsidRPr="00CE6BD3" w:rsidRDefault="00D91A46" w:rsidP="006C0531">
            <w:pPr>
              <w:pStyle w:val="NoSpacing"/>
              <w:ind w:firstLine="0"/>
              <w:jc w:val="center"/>
            </w:pPr>
            <w:r w:rsidRPr="00CE6BD3">
              <w:t>0,541157</w:t>
            </w:r>
          </w:p>
        </w:tc>
        <w:tc>
          <w:tcPr>
            <w:tcW w:w="850" w:type="dxa"/>
          </w:tcPr>
          <w:p w14:paraId="33E504D2" w14:textId="77777777" w:rsidR="00D91A46" w:rsidRPr="00CE6BD3" w:rsidRDefault="00D91A46" w:rsidP="006C0531">
            <w:pPr>
              <w:pStyle w:val="NoSpacing"/>
              <w:ind w:firstLine="0"/>
              <w:jc w:val="center"/>
              <w:rPr>
                <w:rStyle w:val="Heading1Char"/>
                <w:b w:val="0"/>
              </w:rPr>
            </w:pPr>
            <w:r w:rsidRPr="00CE6BD3">
              <w:rPr>
                <w:rStyle w:val="Heading1Char"/>
              </w:rPr>
              <w:t>1,475794</w:t>
            </w:r>
          </w:p>
        </w:tc>
        <w:tc>
          <w:tcPr>
            <w:tcW w:w="850" w:type="dxa"/>
          </w:tcPr>
          <w:p w14:paraId="73F6ACE0" w14:textId="77777777" w:rsidR="00D91A46" w:rsidRPr="00CE6BD3" w:rsidRDefault="00D91A46" w:rsidP="006C0531">
            <w:pPr>
              <w:pStyle w:val="NoSpacing"/>
              <w:ind w:firstLine="0"/>
              <w:jc w:val="center"/>
              <w:rPr>
                <w:rStyle w:val="Heading1Char"/>
                <w:b w:val="0"/>
              </w:rPr>
            </w:pPr>
            <w:r w:rsidRPr="00CE6BD3">
              <w:rPr>
                <w:rStyle w:val="Heading1Char"/>
              </w:rPr>
              <w:t>1,471662</w:t>
            </w:r>
          </w:p>
        </w:tc>
        <w:tc>
          <w:tcPr>
            <w:tcW w:w="850" w:type="dxa"/>
          </w:tcPr>
          <w:p w14:paraId="5952FD3E" w14:textId="77777777" w:rsidR="00D91A46" w:rsidRPr="00CE6BD3" w:rsidRDefault="00D91A46" w:rsidP="006C0531">
            <w:pPr>
              <w:pStyle w:val="NoSpacing"/>
              <w:ind w:firstLine="0"/>
              <w:jc w:val="center"/>
              <w:rPr>
                <w:rStyle w:val="Heading1Char"/>
                <w:b w:val="0"/>
              </w:rPr>
            </w:pPr>
            <w:r w:rsidRPr="00CE6BD3">
              <w:rPr>
                <w:rStyle w:val="Heading1Char"/>
              </w:rPr>
              <w:t>1,455822</w:t>
            </w:r>
          </w:p>
        </w:tc>
        <w:tc>
          <w:tcPr>
            <w:tcW w:w="850" w:type="dxa"/>
          </w:tcPr>
          <w:p w14:paraId="5FCA14B4" w14:textId="77777777" w:rsidR="00D91A46" w:rsidRPr="00CE6BD3" w:rsidRDefault="00D91A46" w:rsidP="006C0531">
            <w:pPr>
              <w:pStyle w:val="NoSpacing"/>
              <w:ind w:firstLine="0"/>
              <w:jc w:val="center"/>
            </w:pPr>
            <w:r w:rsidRPr="00CE6BD3">
              <w:t>1,179394</w:t>
            </w:r>
          </w:p>
        </w:tc>
      </w:tr>
      <w:tr w:rsidR="00D91A46" w:rsidRPr="00CE6BD3" w14:paraId="461D9C3F" w14:textId="77777777" w:rsidTr="006C0531">
        <w:tc>
          <w:tcPr>
            <w:tcW w:w="421" w:type="dxa"/>
          </w:tcPr>
          <w:p w14:paraId="37AE3D2E" w14:textId="77777777" w:rsidR="00D91A46" w:rsidRPr="00CE6BD3" w:rsidRDefault="00D91A46" w:rsidP="006C0531">
            <w:pPr>
              <w:pStyle w:val="NoSpacing"/>
              <w:ind w:firstLine="0"/>
              <w:jc w:val="center"/>
              <w:rPr>
                <w:rStyle w:val="Heading1Char"/>
                <w:b w:val="0"/>
              </w:rPr>
            </w:pPr>
            <w:bookmarkStart w:id="54" w:name="_Toc136359864"/>
            <w:bookmarkStart w:id="55" w:name="_Toc136384972"/>
            <w:bookmarkStart w:id="56" w:name="_Toc136447693"/>
            <w:bookmarkStart w:id="57" w:name="_Toc136452195"/>
            <w:r w:rsidRPr="00CE6BD3">
              <w:rPr>
                <w:rStyle w:val="Heading1Char"/>
              </w:rPr>
              <w:t>3</w:t>
            </w:r>
            <w:bookmarkEnd w:id="54"/>
            <w:bookmarkEnd w:id="55"/>
            <w:bookmarkEnd w:id="56"/>
            <w:bookmarkEnd w:id="57"/>
          </w:p>
        </w:tc>
        <w:tc>
          <w:tcPr>
            <w:tcW w:w="707" w:type="dxa"/>
          </w:tcPr>
          <w:p w14:paraId="326DDA4A" w14:textId="77777777" w:rsidR="00D91A46" w:rsidRPr="00CE6BD3" w:rsidRDefault="00D91A46" w:rsidP="006C0531">
            <w:pPr>
              <w:ind w:firstLine="0"/>
              <w:jc w:val="center"/>
              <w:rPr>
                <w:rStyle w:val="Heading1Char"/>
                <w:b w:val="0"/>
              </w:rPr>
            </w:pPr>
            <w:r w:rsidRPr="00CE6BD3">
              <w:rPr>
                <w:rStyle w:val="Heading1Char"/>
              </w:rPr>
              <w:t>KLBF</w:t>
            </w:r>
          </w:p>
        </w:tc>
        <w:tc>
          <w:tcPr>
            <w:tcW w:w="850" w:type="dxa"/>
          </w:tcPr>
          <w:p w14:paraId="3B5C14C9" w14:textId="77777777" w:rsidR="00D91A46" w:rsidRPr="00CE6BD3" w:rsidRDefault="00D91A46" w:rsidP="006C0531">
            <w:pPr>
              <w:pStyle w:val="NoSpacing"/>
              <w:ind w:firstLine="0"/>
              <w:jc w:val="center"/>
              <w:rPr>
                <w:rStyle w:val="Heading1Char"/>
                <w:b w:val="0"/>
              </w:rPr>
            </w:pPr>
            <w:r w:rsidRPr="00CE6BD3">
              <w:rPr>
                <w:rStyle w:val="Heading1Char"/>
              </w:rPr>
              <w:t>0,175632</w:t>
            </w:r>
          </w:p>
        </w:tc>
        <w:tc>
          <w:tcPr>
            <w:tcW w:w="850" w:type="dxa"/>
          </w:tcPr>
          <w:p w14:paraId="56963CEF" w14:textId="77777777" w:rsidR="00D91A46" w:rsidRPr="00CE6BD3" w:rsidRDefault="00D91A46" w:rsidP="006C0531">
            <w:pPr>
              <w:pStyle w:val="NoSpacing"/>
              <w:ind w:firstLine="0"/>
              <w:jc w:val="center"/>
              <w:rPr>
                <w:rStyle w:val="Heading1Char"/>
                <w:b w:val="0"/>
              </w:rPr>
            </w:pPr>
            <w:r w:rsidRPr="00CE6BD3">
              <w:rPr>
                <w:rStyle w:val="Heading1Char"/>
              </w:rPr>
              <w:t>0,190044</w:t>
            </w:r>
          </w:p>
        </w:tc>
        <w:tc>
          <w:tcPr>
            <w:tcW w:w="850" w:type="dxa"/>
          </w:tcPr>
          <w:p w14:paraId="5CAC7577" w14:textId="77777777" w:rsidR="00D91A46" w:rsidRPr="00CE6BD3" w:rsidRDefault="00D91A46" w:rsidP="006C0531">
            <w:pPr>
              <w:pStyle w:val="NoSpacing"/>
              <w:ind w:firstLine="0"/>
              <w:jc w:val="center"/>
              <w:rPr>
                <w:rStyle w:val="Heading1Char"/>
                <w:b w:val="0"/>
              </w:rPr>
            </w:pPr>
            <w:r w:rsidRPr="00CE6BD3">
              <w:rPr>
                <w:rStyle w:val="Heading1Char"/>
              </w:rPr>
              <w:t>0,171458</w:t>
            </w:r>
          </w:p>
        </w:tc>
        <w:tc>
          <w:tcPr>
            <w:tcW w:w="850" w:type="dxa"/>
          </w:tcPr>
          <w:p w14:paraId="5F232B7F" w14:textId="77777777" w:rsidR="00D91A46" w:rsidRPr="00CE6BD3" w:rsidRDefault="00D91A46" w:rsidP="006C0531">
            <w:pPr>
              <w:pStyle w:val="NoSpacing"/>
              <w:ind w:firstLine="0"/>
              <w:jc w:val="center"/>
            </w:pPr>
            <w:r w:rsidRPr="00CE6BD3">
              <w:t>0,188830</w:t>
            </w:r>
          </w:p>
        </w:tc>
        <w:tc>
          <w:tcPr>
            <w:tcW w:w="850" w:type="dxa"/>
          </w:tcPr>
          <w:p w14:paraId="63489C19" w14:textId="77777777" w:rsidR="00D91A46" w:rsidRPr="00CE6BD3" w:rsidRDefault="00D91A46" w:rsidP="006C0531">
            <w:pPr>
              <w:pStyle w:val="NoSpacing"/>
              <w:ind w:firstLine="0"/>
              <w:jc w:val="center"/>
              <w:rPr>
                <w:rStyle w:val="Heading1Char"/>
                <w:b w:val="0"/>
              </w:rPr>
            </w:pPr>
            <w:r w:rsidRPr="00CE6BD3">
              <w:rPr>
                <w:rStyle w:val="Heading1Char"/>
              </w:rPr>
              <w:t>0,213051</w:t>
            </w:r>
          </w:p>
        </w:tc>
        <w:tc>
          <w:tcPr>
            <w:tcW w:w="850" w:type="dxa"/>
          </w:tcPr>
          <w:p w14:paraId="739959AC" w14:textId="77777777" w:rsidR="00D91A46" w:rsidRPr="00CE6BD3" w:rsidRDefault="00D91A46" w:rsidP="006C0531">
            <w:pPr>
              <w:pStyle w:val="NoSpacing"/>
              <w:ind w:firstLine="0"/>
              <w:jc w:val="center"/>
              <w:rPr>
                <w:rStyle w:val="Heading1Char"/>
                <w:b w:val="0"/>
              </w:rPr>
            </w:pPr>
            <w:r w:rsidRPr="00CE6BD3">
              <w:rPr>
                <w:rStyle w:val="Heading1Char"/>
              </w:rPr>
              <w:t>0,234636</w:t>
            </w:r>
          </w:p>
        </w:tc>
        <w:tc>
          <w:tcPr>
            <w:tcW w:w="850" w:type="dxa"/>
          </w:tcPr>
          <w:p w14:paraId="5D121F95" w14:textId="77777777" w:rsidR="00D91A46" w:rsidRPr="00CE6BD3" w:rsidRDefault="00D91A46" w:rsidP="006C0531">
            <w:pPr>
              <w:pStyle w:val="NoSpacing"/>
              <w:ind w:firstLine="0"/>
              <w:jc w:val="center"/>
              <w:rPr>
                <w:rStyle w:val="Heading1Char"/>
                <w:b w:val="0"/>
              </w:rPr>
            </w:pPr>
            <w:r w:rsidRPr="00CE6BD3">
              <w:rPr>
                <w:rStyle w:val="Heading1Char"/>
              </w:rPr>
              <w:t>0,206940</w:t>
            </w:r>
          </w:p>
        </w:tc>
        <w:tc>
          <w:tcPr>
            <w:tcW w:w="850" w:type="dxa"/>
          </w:tcPr>
          <w:p w14:paraId="1B5279F6" w14:textId="77777777" w:rsidR="00D91A46" w:rsidRPr="00CE6BD3" w:rsidRDefault="00D91A46" w:rsidP="006C0531">
            <w:pPr>
              <w:pStyle w:val="NoSpacing"/>
              <w:ind w:firstLine="0"/>
              <w:jc w:val="center"/>
            </w:pPr>
            <w:r w:rsidRPr="00CE6BD3">
              <w:t>0,232788</w:t>
            </w:r>
          </w:p>
        </w:tc>
      </w:tr>
      <w:tr w:rsidR="00D91A46" w:rsidRPr="00CE6BD3" w14:paraId="1495BDA3" w14:textId="77777777" w:rsidTr="006C0531">
        <w:tc>
          <w:tcPr>
            <w:tcW w:w="421" w:type="dxa"/>
          </w:tcPr>
          <w:p w14:paraId="78FFFA78" w14:textId="77777777" w:rsidR="00D91A46" w:rsidRPr="00CE6BD3" w:rsidRDefault="00D91A46" w:rsidP="006C0531">
            <w:pPr>
              <w:pStyle w:val="NoSpacing"/>
              <w:ind w:firstLine="0"/>
              <w:jc w:val="center"/>
              <w:rPr>
                <w:rStyle w:val="Heading1Char"/>
                <w:b w:val="0"/>
              </w:rPr>
            </w:pPr>
            <w:bookmarkStart w:id="58" w:name="_Toc136359865"/>
            <w:bookmarkStart w:id="59" w:name="_Toc136384973"/>
            <w:bookmarkStart w:id="60" w:name="_Toc136447694"/>
            <w:bookmarkStart w:id="61" w:name="_Toc136452196"/>
            <w:r w:rsidRPr="00CE6BD3">
              <w:rPr>
                <w:rStyle w:val="Heading1Char"/>
              </w:rPr>
              <w:t>4</w:t>
            </w:r>
            <w:bookmarkEnd w:id="58"/>
            <w:bookmarkEnd w:id="59"/>
            <w:bookmarkEnd w:id="60"/>
            <w:bookmarkEnd w:id="61"/>
          </w:p>
        </w:tc>
        <w:tc>
          <w:tcPr>
            <w:tcW w:w="707" w:type="dxa"/>
          </w:tcPr>
          <w:p w14:paraId="0F38C8C7" w14:textId="77777777" w:rsidR="00D91A46" w:rsidRPr="00CE6BD3" w:rsidRDefault="00D91A46" w:rsidP="006C0531">
            <w:pPr>
              <w:ind w:firstLine="0"/>
              <w:jc w:val="center"/>
              <w:rPr>
                <w:rStyle w:val="Heading1Char"/>
                <w:b w:val="0"/>
              </w:rPr>
            </w:pPr>
            <w:r w:rsidRPr="00CE6BD3">
              <w:rPr>
                <w:rStyle w:val="Heading1Char"/>
              </w:rPr>
              <w:t>MERK</w:t>
            </w:r>
          </w:p>
        </w:tc>
        <w:tc>
          <w:tcPr>
            <w:tcW w:w="850" w:type="dxa"/>
          </w:tcPr>
          <w:p w14:paraId="107B4573" w14:textId="77777777" w:rsidR="00D91A46" w:rsidRPr="00CE6BD3" w:rsidRDefault="00D91A46" w:rsidP="006C0531">
            <w:pPr>
              <w:pStyle w:val="NoSpacing"/>
              <w:ind w:firstLine="0"/>
              <w:jc w:val="center"/>
              <w:rPr>
                <w:rStyle w:val="Heading1Char"/>
                <w:b w:val="0"/>
              </w:rPr>
            </w:pPr>
            <w:r w:rsidRPr="00CE6BD3">
              <w:rPr>
                <w:rStyle w:val="Heading1Char"/>
              </w:rPr>
              <w:t>0,000341</w:t>
            </w:r>
          </w:p>
        </w:tc>
        <w:tc>
          <w:tcPr>
            <w:tcW w:w="850" w:type="dxa"/>
          </w:tcPr>
          <w:p w14:paraId="6424075F" w14:textId="77777777" w:rsidR="00D91A46" w:rsidRPr="00CE6BD3" w:rsidRDefault="00D91A46" w:rsidP="006C0531">
            <w:pPr>
              <w:pStyle w:val="NoSpacing"/>
              <w:ind w:firstLine="0"/>
              <w:jc w:val="center"/>
              <w:rPr>
                <w:rStyle w:val="Heading1Char"/>
                <w:b w:val="0"/>
              </w:rPr>
            </w:pPr>
            <w:r w:rsidRPr="00CE6BD3">
              <w:rPr>
                <w:rStyle w:val="Heading1Char"/>
              </w:rPr>
              <w:t>0,000341</w:t>
            </w:r>
          </w:p>
        </w:tc>
        <w:tc>
          <w:tcPr>
            <w:tcW w:w="850" w:type="dxa"/>
          </w:tcPr>
          <w:p w14:paraId="553BA300" w14:textId="77777777" w:rsidR="00D91A46" w:rsidRPr="00CE6BD3" w:rsidRDefault="00D91A46" w:rsidP="006C0531">
            <w:pPr>
              <w:pStyle w:val="NoSpacing"/>
              <w:ind w:firstLine="0"/>
              <w:jc w:val="center"/>
              <w:rPr>
                <w:rStyle w:val="Heading1Char"/>
                <w:b w:val="0"/>
              </w:rPr>
            </w:pPr>
            <w:r w:rsidRPr="00CE6BD3">
              <w:rPr>
                <w:rStyle w:val="Heading1Char"/>
              </w:rPr>
              <w:t>0,333464</w:t>
            </w:r>
          </w:p>
        </w:tc>
        <w:tc>
          <w:tcPr>
            <w:tcW w:w="850" w:type="dxa"/>
          </w:tcPr>
          <w:p w14:paraId="6BE90885" w14:textId="77777777" w:rsidR="00D91A46" w:rsidRPr="00CE6BD3" w:rsidRDefault="00D91A46" w:rsidP="006C0531">
            <w:pPr>
              <w:pStyle w:val="NoSpacing"/>
              <w:ind w:firstLine="0"/>
              <w:jc w:val="center"/>
            </w:pPr>
            <w:r w:rsidRPr="00CE6BD3">
              <w:t>0,270232</w:t>
            </w:r>
          </w:p>
        </w:tc>
        <w:tc>
          <w:tcPr>
            <w:tcW w:w="850" w:type="dxa"/>
          </w:tcPr>
          <w:p w14:paraId="65F8C821" w14:textId="77777777" w:rsidR="00D91A46" w:rsidRPr="00CE6BD3" w:rsidRDefault="00D91A46" w:rsidP="006C0531">
            <w:pPr>
              <w:pStyle w:val="NoSpacing"/>
              <w:ind w:firstLine="0"/>
              <w:jc w:val="center"/>
              <w:rPr>
                <w:rStyle w:val="Heading1Char"/>
                <w:b w:val="0"/>
              </w:rPr>
            </w:pPr>
            <w:r w:rsidRPr="00CE6BD3">
              <w:rPr>
                <w:rStyle w:val="Heading1Char"/>
              </w:rPr>
              <w:t>0,516908</w:t>
            </w:r>
          </w:p>
        </w:tc>
        <w:tc>
          <w:tcPr>
            <w:tcW w:w="850" w:type="dxa"/>
          </w:tcPr>
          <w:p w14:paraId="142296E6" w14:textId="77777777" w:rsidR="00D91A46" w:rsidRPr="00CE6BD3" w:rsidRDefault="00D91A46" w:rsidP="006C0531">
            <w:pPr>
              <w:pStyle w:val="NoSpacing"/>
              <w:ind w:firstLine="0"/>
              <w:jc w:val="center"/>
              <w:rPr>
                <w:rStyle w:val="Heading1Char"/>
                <w:b w:val="0"/>
              </w:rPr>
            </w:pPr>
            <w:r w:rsidRPr="00CE6BD3">
              <w:rPr>
                <w:rStyle w:val="Heading1Char"/>
              </w:rPr>
              <w:t>0,517752</w:t>
            </w:r>
          </w:p>
        </w:tc>
        <w:tc>
          <w:tcPr>
            <w:tcW w:w="850" w:type="dxa"/>
          </w:tcPr>
          <w:p w14:paraId="0E03A12B" w14:textId="77777777" w:rsidR="00D91A46" w:rsidRPr="00CE6BD3" w:rsidRDefault="00D91A46" w:rsidP="006C0531">
            <w:pPr>
              <w:pStyle w:val="NoSpacing"/>
              <w:ind w:firstLine="0"/>
              <w:jc w:val="center"/>
              <w:rPr>
                <w:rStyle w:val="Heading1Char"/>
                <w:b w:val="0"/>
              </w:rPr>
            </w:pPr>
            <w:r w:rsidRPr="00CE6BD3">
              <w:rPr>
                <w:rStyle w:val="Heading1Char"/>
              </w:rPr>
              <w:t>0,500294</w:t>
            </w:r>
          </w:p>
        </w:tc>
        <w:tc>
          <w:tcPr>
            <w:tcW w:w="850" w:type="dxa"/>
          </w:tcPr>
          <w:p w14:paraId="3C4A9728" w14:textId="77777777" w:rsidR="00D91A46" w:rsidRPr="00CE6BD3" w:rsidRDefault="00D91A46" w:rsidP="006C0531">
            <w:pPr>
              <w:pStyle w:val="NoSpacing"/>
              <w:ind w:firstLine="0"/>
              <w:jc w:val="center"/>
            </w:pPr>
            <w:r w:rsidRPr="00CE6BD3">
              <w:t>0,370299</w:t>
            </w:r>
          </w:p>
        </w:tc>
      </w:tr>
      <w:tr w:rsidR="00D91A46" w:rsidRPr="00CE6BD3" w14:paraId="7ED8A18B" w14:textId="77777777" w:rsidTr="006C0531">
        <w:tc>
          <w:tcPr>
            <w:tcW w:w="421" w:type="dxa"/>
          </w:tcPr>
          <w:p w14:paraId="4F98E377" w14:textId="77777777" w:rsidR="00D91A46" w:rsidRPr="00CE6BD3" w:rsidRDefault="00D91A46" w:rsidP="006C0531">
            <w:pPr>
              <w:pStyle w:val="NoSpacing"/>
              <w:ind w:firstLine="0"/>
              <w:jc w:val="center"/>
              <w:rPr>
                <w:rStyle w:val="Heading1Char"/>
                <w:b w:val="0"/>
              </w:rPr>
            </w:pPr>
            <w:bookmarkStart w:id="62" w:name="_Toc136359866"/>
            <w:bookmarkStart w:id="63" w:name="_Toc136384974"/>
            <w:bookmarkStart w:id="64" w:name="_Toc136447695"/>
            <w:bookmarkStart w:id="65" w:name="_Toc136452197"/>
            <w:r w:rsidRPr="00CE6BD3">
              <w:rPr>
                <w:rStyle w:val="Heading1Char"/>
              </w:rPr>
              <w:t>5</w:t>
            </w:r>
            <w:bookmarkEnd w:id="62"/>
            <w:bookmarkEnd w:id="63"/>
            <w:bookmarkEnd w:id="64"/>
            <w:bookmarkEnd w:id="65"/>
          </w:p>
        </w:tc>
        <w:tc>
          <w:tcPr>
            <w:tcW w:w="707" w:type="dxa"/>
          </w:tcPr>
          <w:p w14:paraId="375B307C" w14:textId="77777777" w:rsidR="00D91A46" w:rsidRPr="00CE6BD3" w:rsidRDefault="00D91A46" w:rsidP="006C0531">
            <w:pPr>
              <w:ind w:firstLine="0"/>
              <w:jc w:val="center"/>
              <w:rPr>
                <w:rStyle w:val="Heading1Char"/>
                <w:b w:val="0"/>
              </w:rPr>
            </w:pPr>
            <w:r w:rsidRPr="00CE6BD3">
              <w:rPr>
                <w:rStyle w:val="Heading1Char"/>
              </w:rPr>
              <w:t>PEHA</w:t>
            </w:r>
          </w:p>
        </w:tc>
        <w:tc>
          <w:tcPr>
            <w:tcW w:w="850" w:type="dxa"/>
          </w:tcPr>
          <w:p w14:paraId="405FE03C" w14:textId="77777777" w:rsidR="00D91A46" w:rsidRPr="00CE6BD3" w:rsidRDefault="00D91A46" w:rsidP="006C0531">
            <w:pPr>
              <w:pStyle w:val="NoSpacing"/>
              <w:ind w:firstLine="0"/>
              <w:jc w:val="center"/>
              <w:rPr>
                <w:rStyle w:val="Heading1Char"/>
                <w:b w:val="0"/>
              </w:rPr>
            </w:pPr>
            <w:r w:rsidRPr="00CE6BD3">
              <w:rPr>
                <w:rStyle w:val="Heading1Char"/>
              </w:rPr>
              <w:t>0,000608</w:t>
            </w:r>
          </w:p>
        </w:tc>
        <w:tc>
          <w:tcPr>
            <w:tcW w:w="850" w:type="dxa"/>
          </w:tcPr>
          <w:p w14:paraId="392A39CF" w14:textId="77777777" w:rsidR="00D91A46" w:rsidRPr="00CE6BD3" w:rsidRDefault="00D91A46" w:rsidP="006C0531">
            <w:pPr>
              <w:pStyle w:val="NoSpacing"/>
              <w:ind w:firstLine="0"/>
              <w:jc w:val="center"/>
              <w:rPr>
                <w:rStyle w:val="Heading1Char"/>
                <w:b w:val="0"/>
              </w:rPr>
            </w:pPr>
            <w:r w:rsidRPr="00CE6BD3">
              <w:rPr>
                <w:rStyle w:val="Heading1Char"/>
              </w:rPr>
              <w:t>0,000613</w:t>
            </w:r>
          </w:p>
        </w:tc>
        <w:tc>
          <w:tcPr>
            <w:tcW w:w="850" w:type="dxa"/>
          </w:tcPr>
          <w:p w14:paraId="23F89623" w14:textId="77777777" w:rsidR="00D91A46" w:rsidRPr="00CE6BD3" w:rsidRDefault="00D91A46" w:rsidP="006C0531">
            <w:pPr>
              <w:pStyle w:val="NoSpacing"/>
              <w:ind w:firstLine="0"/>
              <w:jc w:val="center"/>
              <w:rPr>
                <w:rStyle w:val="Heading1Char"/>
                <w:b w:val="0"/>
              </w:rPr>
            </w:pPr>
            <w:r w:rsidRPr="00CE6BD3">
              <w:rPr>
                <w:rStyle w:val="Heading1Char"/>
              </w:rPr>
              <w:t>0,596975</w:t>
            </w:r>
          </w:p>
        </w:tc>
        <w:tc>
          <w:tcPr>
            <w:tcW w:w="850" w:type="dxa"/>
          </w:tcPr>
          <w:p w14:paraId="12A491B0" w14:textId="77777777" w:rsidR="00D91A46" w:rsidRPr="00CE6BD3" w:rsidRDefault="00D91A46" w:rsidP="006C0531">
            <w:pPr>
              <w:pStyle w:val="NoSpacing"/>
              <w:ind w:firstLine="0"/>
              <w:jc w:val="center"/>
            </w:pPr>
            <w:r w:rsidRPr="00CE6BD3">
              <w:t>0,572704</w:t>
            </w:r>
          </w:p>
        </w:tc>
        <w:tc>
          <w:tcPr>
            <w:tcW w:w="850" w:type="dxa"/>
          </w:tcPr>
          <w:p w14:paraId="4E75BFAA" w14:textId="77777777" w:rsidR="00D91A46" w:rsidRPr="00CE6BD3" w:rsidRDefault="00D91A46" w:rsidP="006C0531">
            <w:pPr>
              <w:pStyle w:val="NoSpacing"/>
              <w:ind w:firstLine="0"/>
              <w:jc w:val="center"/>
              <w:rPr>
                <w:rStyle w:val="Heading1Char"/>
                <w:b w:val="0"/>
              </w:rPr>
            </w:pPr>
            <w:r w:rsidRPr="00CE6BD3">
              <w:rPr>
                <w:rStyle w:val="Heading1Char"/>
              </w:rPr>
              <w:t>1,551966</w:t>
            </w:r>
          </w:p>
        </w:tc>
        <w:tc>
          <w:tcPr>
            <w:tcW w:w="850" w:type="dxa"/>
          </w:tcPr>
          <w:p w14:paraId="1646B57A" w14:textId="77777777" w:rsidR="00D91A46" w:rsidRPr="00CE6BD3" w:rsidRDefault="00D91A46" w:rsidP="006C0531">
            <w:pPr>
              <w:pStyle w:val="NoSpacing"/>
              <w:ind w:firstLine="0"/>
              <w:jc w:val="center"/>
              <w:rPr>
                <w:rStyle w:val="Heading1Char"/>
                <w:b w:val="0"/>
              </w:rPr>
            </w:pPr>
            <w:r w:rsidRPr="00CE6BD3">
              <w:rPr>
                <w:rStyle w:val="Heading1Char"/>
              </w:rPr>
              <w:t>1,585998</w:t>
            </w:r>
          </w:p>
        </w:tc>
        <w:tc>
          <w:tcPr>
            <w:tcW w:w="850" w:type="dxa"/>
          </w:tcPr>
          <w:p w14:paraId="31ACBF32" w14:textId="77777777" w:rsidR="00D91A46" w:rsidRPr="00CE6BD3" w:rsidRDefault="00D91A46" w:rsidP="006C0531">
            <w:pPr>
              <w:pStyle w:val="NoSpacing"/>
              <w:ind w:firstLine="0"/>
              <w:jc w:val="center"/>
              <w:rPr>
                <w:rStyle w:val="Heading1Char"/>
                <w:b w:val="0"/>
              </w:rPr>
            </w:pPr>
            <w:r w:rsidRPr="00CE6BD3">
              <w:rPr>
                <w:rStyle w:val="Heading1Char"/>
              </w:rPr>
              <w:t>1,481236</w:t>
            </w:r>
          </w:p>
        </w:tc>
        <w:tc>
          <w:tcPr>
            <w:tcW w:w="850" w:type="dxa"/>
          </w:tcPr>
          <w:p w14:paraId="4B2FABA4" w14:textId="77777777" w:rsidR="00D91A46" w:rsidRPr="00CE6BD3" w:rsidRDefault="00D91A46" w:rsidP="006C0531">
            <w:pPr>
              <w:pStyle w:val="NoSpacing"/>
              <w:ind w:firstLine="0"/>
              <w:jc w:val="center"/>
            </w:pPr>
            <w:r w:rsidRPr="00CE6BD3">
              <w:t>1,340300</w:t>
            </w:r>
          </w:p>
        </w:tc>
      </w:tr>
      <w:tr w:rsidR="00D91A46" w:rsidRPr="00CE6BD3" w14:paraId="6EE47348" w14:textId="77777777" w:rsidTr="006C0531">
        <w:tc>
          <w:tcPr>
            <w:tcW w:w="421" w:type="dxa"/>
          </w:tcPr>
          <w:p w14:paraId="57BA5212" w14:textId="77777777" w:rsidR="00D91A46" w:rsidRPr="00CE6BD3" w:rsidRDefault="00D91A46" w:rsidP="006C0531">
            <w:pPr>
              <w:pStyle w:val="NoSpacing"/>
              <w:ind w:firstLine="0"/>
              <w:jc w:val="center"/>
              <w:rPr>
                <w:rStyle w:val="Heading1Char"/>
                <w:b w:val="0"/>
              </w:rPr>
            </w:pPr>
            <w:bookmarkStart w:id="66" w:name="_Toc136359867"/>
            <w:bookmarkStart w:id="67" w:name="_Toc136384975"/>
            <w:bookmarkStart w:id="68" w:name="_Toc136447696"/>
            <w:bookmarkStart w:id="69" w:name="_Toc136452198"/>
            <w:r w:rsidRPr="00CE6BD3">
              <w:rPr>
                <w:rStyle w:val="Heading1Char"/>
              </w:rPr>
              <w:t>6</w:t>
            </w:r>
            <w:bookmarkEnd w:id="66"/>
            <w:bookmarkEnd w:id="67"/>
            <w:bookmarkEnd w:id="68"/>
            <w:bookmarkEnd w:id="69"/>
          </w:p>
        </w:tc>
        <w:tc>
          <w:tcPr>
            <w:tcW w:w="707" w:type="dxa"/>
          </w:tcPr>
          <w:p w14:paraId="21EB710E" w14:textId="77777777" w:rsidR="00D91A46" w:rsidRPr="00CE6BD3" w:rsidRDefault="00D91A46" w:rsidP="006C0531">
            <w:pPr>
              <w:ind w:firstLine="0"/>
              <w:jc w:val="center"/>
              <w:rPr>
                <w:rStyle w:val="Heading1Char"/>
                <w:b w:val="0"/>
              </w:rPr>
            </w:pPr>
            <w:r w:rsidRPr="00CE6BD3">
              <w:rPr>
                <w:rStyle w:val="Heading1Char"/>
              </w:rPr>
              <w:t>PYFA</w:t>
            </w:r>
          </w:p>
        </w:tc>
        <w:tc>
          <w:tcPr>
            <w:tcW w:w="850" w:type="dxa"/>
          </w:tcPr>
          <w:p w14:paraId="605CEADE" w14:textId="77777777" w:rsidR="00D91A46" w:rsidRPr="00CE6BD3" w:rsidRDefault="00D91A46" w:rsidP="006C0531">
            <w:pPr>
              <w:pStyle w:val="NoSpacing"/>
              <w:ind w:firstLine="0"/>
              <w:jc w:val="center"/>
              <w:rPr>
                <w:rStyle w:val="Heading1Char"/>
                <w:b w:val="0"/>
              </w:rPr>
            </w:pPr>
            <w:r w:rsidRPr="00CE6BD3">
              <w:rPr>
                <w:rStyle w:val="Heading1Char"/>
              </w:rPr>
              <w:t>0,346253</w:t>
            </w:r>
          </w:p>
        </w:tc>
        <w:tc>
          <w:tcPr>
            <w:tcW w:w="850" w:type="dxa"/>
          </w:tcPr>
          <w:p w14:paraId="67AB3D1C" w14:textId="77777777" w:rsidR="00D91A46" w:rsidRPr="00CE6BD3" w:rsidRDefault="00D91A46" w:rsidP="006C0531">
            <w:pPr>
              <w:pStyle w:val="NoSpacing"/>
              <w:ind w:firstLine="0"/>
              <w:jc w:val="center"/>
              <w:rPr>
                <w:rStyle w:val="Heading1Char"/>
                <w:b w:val="0"/>
              </w:rPr>
            </w:pPr>
            <w:r w:rsidRPr="00CE6BD3">
              <w:rPr>
                <w:rStyle w:val="Heading1Char"/>
              </w:rPr>
              <w:t>0,310373</w:t>
            </w:r>
          </w:p>
        </w:tc>
        <w:tc>
          <w:tcPr>
            <w:tcW w:w="850" w:type="dxa"/>
          </w:tcPr>
          <w:p w14:paraId="2F543BAE" w14:textId="77777777" w:rsidR="00D91A46" w:rsidRPr="00CE6BD3" w:rsidRDefault="00D91A46" w:rsidP="006C0531">
            <w:pPr>
              <w:pStyle w:val="NoSpacing"/>
              <w:ind w:firstLine="0"/>
              <w:jc w:val="center"/>
              <w:rPr>
                <w:rStyle w:val="Heading1Char"/>
                <w:b w:val="0"/>
              </w:rPr>
            </w:pPr>
            <w:r w:rsidRPr="00CE6BD3">
              <w:rPr>
                <w:rStyle w:val="Heading1Char"/>
              </w:rPr>
              <w:t>0,792736</w:t>
            </w:r>
          </w:p>
        </w:tc>
        <w:tc>
          <w:tcPr>
            <w:tcW w:w="850" w:type="dxa"/>
          </w:tcPr>
          <w:p w14:paraId="4D825A40" w14:textId="77777777" w:rsidR="00D91A46" w:rsidRPr="00CE6BD3" w:rsidRDefault="00D91A46" w:rsidP="006C0531">
            <w:pPr>
              <w:pStyle w:val="NoSpacing"/>
              <w:ind w:firstLine="0"/>
              <w:jc w:val="center"/>
            </w:pPr>
            <w:r w:rsidRPr="00CE6BD3">
              <w:t>0,709084</w:t>
            </w:r>
          </w:p>
        </w:tc>
        <w:tc>
          <w:tcPr>
            <w:tcW w:w="850" w:type="dxa"/>
          </w:tcPr>
          <w:p w14:paraId="1CCD3380" w14:textId="77777777" w:rsidR="00D91A46" w:rsidRPr="00CE6BD3" w:rsidRDefault="00D91A46" w:rsidP="006C0531">
            <w:pPr>
              <w:pStyle w:val="NoSpacing"/>
              <w:ind w:firstLine="0"/>
              <w:jc w:val="center"/>
              <w:rPr>
                <w:rStyle w:val="Heading1Char"/>
                <w:b w:val="0"/>
              </w:rPr>
            </w:pPr>
            <w:r w:rsidRPr="00CE6BD3">
              <w:rPr>
                <w:rStyle w:val="Heading1Char"/>
              </w:rPr>
              <w:t>0,529643</w:t>
            </w:r>
          </w:p>
        </w:tc>
        <w:tc>
          <w:tcPr>
            <w:tcW w:w="850" w:type="dxa"/>
          </w:tcPr>
          <w:p w14:paraId="073D7EB5" w14:textId="77777777" w:rsidR="00D91A46" w:rsidRPr="00CE6BD3" w:rsidRDefault="00D91A46" w:rsidP="006C0531">
            <w:pPr>
              <w:pStyle w:val="NoSpacing"/>
              <w:ind w:firstLine="0"/>
              <w:jc w:val="center"/>
              <w:rPr>
                <w:rStyle w:val="Heading1Char"/>
                <w:b w:val="0"/>
              </w:rPr>
            </w:pPr>
            <w:r w:rsidRPr="00CE6BD3">
              <w:rPr>
                <w:rStyle w:val="Heading1Char"/>
              </w:rPr>
              <w:t>0,450059</w:t>
            </w:r>
          </w:p>
        </w:tc>
        <w:tc>
          <w:tcPr>
            <w:tcW w:w="850" w:type="dxa"/>
          </w:tcPr>
          <w:p w14:paraId="5D32AAFC" w14:textId="77777777" w:rsidR="00D91A46" w:rsidRPr="00CE6BD3" w:rsidRDefault="00D91A46" w:rsidP="006C0531">
            <w:pPr>
              <w:pStyle w:val="NoSpacing"/>
              <w:ind w:firstLine="0"/>
              <w:jc w:val="center"/>
              <w:rPr>
                <w:rStyle w:val="Heading1Char"/>
                <w:b w:val="0"/>
              </w:rPr>
            </w:pPr>
            <w:r w:rsidRPr="00CE6BD3">
              <w:rPr>
                <w:rStyle w:val="Heading1Char"/>
              </w:rPr>
              <w:t>3,824769</w:t>
            </w:r>
          </w:p>
        </w:tc>
        <w:tc>
          <w:tcPr>
            <w:tcW w:w="850" w:type="dxa"/>
          </w:tcPr>
          <w:p w14:paraId="7BD67F74" w14:textId="77777777" w:rsidR="00D91A46" w:rsidRPr="00CE6BD3" w:rsidRDefault="00D91A46" w:rsidP="006C0531">
            <w:pPr>
              <w:pStyle w:val="NoSpacing"/>
              <w:ind w:firstLine="0"/>
              <w:jc w:val="center"/>
            </w:pPr>
            <w:r w:rsidRPr="00CE6BD3">
              <w:t>2,437420</w:t>
            </w:r>
          </w:p>
        </w:tc>
      </w:tr>
      <w:tr w:rsidR="00D91A46" w:rsidRPr="00CE6BD3" w14:paraId="1AD14184" w14:textId="77777777" w:rsidTr="006C0531">
        <w:tc>
          <w:tcPr>
            <w:tcW w:w="421" w:type="dxa"/>
          </w:tcPr>
          <w:p w14:paraId="4D2791F5" w14:textId="77777777" w:rsidR="00D91A46" w:rsidRPr="00CE6BD3" w:rsidRDefault="00D91A46" w:rsidP="006C0531">
            <w:pPr>
              <w:pStyle w:val="NoSpacing"/>
              <w:ind w:firstLine="0"/>
              <w:jc w:val="center"/>
              <w:rPr>
                <w:rStyle w:val="Heading1Char"/>
                <w:b w:val="0"/>
              </w:rPr>
            </w:pPr>
            <w:bookmarkStart w:id="70" w:name="_Toc136359868"/>
            <w:bookmarkStart w:id="71" w:name="_Toc136384976"/>
            <w:bookmarkStart w:id="72" w:name="_Toc136447697"/>
            <w:bookmarkStart w:id="73" w:name="_Toc136452199"/>
            <w:r w:rsidRPr="00CE6BD3">
              <w:rPr>
                <w:rStyle w:val="Heading1Char"/>
              </w:rPr>
              <w:lastRenderedPageBreak/>
              <w:t>7</w:t>
            </w:r>
            <w:bookmarkEnd w:id="70"/>
            <w:bookmarkEnd w:id="71"/>
            <w:bookmarkEnd w:id="72"/>
            <w:bookmarkEnd w:id="73"/>
          </w:p>
        </w:tc>
        <w:tc>
          <w:tcPr>
            <w:tcW w:w="707" w:type="dxa"/>
          </w:tcPr>
          <w:p w14:paraId="02174723" w14:textId="77777777" w:rsidR="00D91A46" w:rsidRPr="00CE6BD3" w:rsidRDefault="00D91A46" w:rsidP="006C0531">
            <w:pPr>
              <w:ind w:firstLine="0"/>
              <w:jc w:val="center"/>
              <w:rPr>
                <w:rStyle w:val="Heading1Char"/>
                <w:b w:val="0"/>
              </w:rPr>
            </w:pPr>
            <w:r w:rsidRPr="00CE6BD3">
              <w:t>SIDO</w:t>
            </w:r>
          </w:p>
        </w:tc>
        <w:tc>
          <w:tcPr>
            <w:tcW w:w="850" w:type="dxa"/>
          </w:tcPr>
          <w:p w14:paraId="5210C91A" w14:textId="77777777" w:rsidR="00D91A46" w:rsidRPr="00CE6BD3" w:rsidRDefault="00D91A46" w:rsidP="006C0531">
            <w:pPr>
              <w:pStyle w:val="NoSpacing"/>
              <w:ind w:firstLine="0"/>
              <w:jc w:val="center"/>
              <w:rPr>
                <w:rStyle w:val="Heading1Char"/>
                <w:b w:val="0"/>
              </w:rPr>
            </w:pPr>
            <w:r w:rsidRPr="00CE6BD3">
              <w:rPr>
                <w:rStyle w:val="Heading1Char"/>
              </w:rPr>
              <w:t>0,131702</w:t>
            </w:r>
          </w:p>
        </w:tc>
        <w:tc>
          <w:tcPr>
            <w:tcW w:w="850" w:type="dxa"/>
          </w:tcPr>
          <w:p w14:paraId="68FFDDE9" w14:textId="77777777" w:rsidR="00D91A46" w:rsidRPr="00CE6BD3" w:rsidRDefault="00D91A46" w:rsidP="006C0531">
            <w:pPr>
              <w:pStyle w:val="NoSpacing"/>
              <w:ind w:firstLine="0"/>
              <w:jc w:val="center"/>
              <w:rPr>
                <w:rStyle w:val="Heading1Char"/>
                <w:b w:val="0"/>
              </w:rPr>
            </w:pPr>
            <w:r w:rsidRPr="00CE6BD3">
              <w:rPr>
                <w:rStyle w:val="Heading1Char"/>
              </w:rPr>
              <w:t>0,163079</w:t>
            </w:r>
          </w:p>
        </w:tc>
        <w:tc>
          <w:tcPr>
            <w:tcW w:w="850" w:type="dxa"/>
          </w:tcPr>
          <w:p w14:paraId="3AF120F7" w14:textId="77777777" w:rsidR="00D91A46" w:rsidRPr="00CE6BD3" w:rsidRDefault="00D91A46" w:rsidP="006C0531">
            <w:pPr>
              <w:pStyle w:val="NoSpacing"/>
              <w:ind w:firstLine="0"/>
              <w:jc w:val="center"/>
              <w:rPr>
                <w:rStyle w:val="Heading1Char"/>
                <w:b w:val="0"/>
              </w:rPr>
            </w:pPr>
            <w:r w:rsidRPr="00CE6BD3">
              <w:rPr>
                <w:rStyle w:val="Heading1Char"/>
              </w:rPr>
              <w:t>0,146913</w:t>
            </w:r>
          </w:p>
        </w:tc>
        <w:tc>
          <w:tcPr>
            <w:tcW w:w="850" w:type="dxa"/>
          </w:tcPr>
          <w:p w14:paraId="4F8A7E18" w14:textId="77777777" w:rsidR="00D91A46" w:rsidRPr="00CE6BD3" w:rsidRDefault="00D91A46" w:rsidP="006C0531">
            <w:pPr>
              <w:pStyle w:val="NoSpacing"/>
              <w:ind w:firstLine="0"/>
              <w:jc w:val="center"/>
              <w:rPr>
                <w:rStyle w:val="Heading1Char"/>
                <w:b w:val="0"/>
              </w:rPr>
            </w:pPr>
            <w:r w:rsidRPr="00CE6BD3">
              <w:rPr>
                <w:rStyle w:val="Heading1Char"/>
              </w:rPr>
              <w:t>0,141119</w:t>
            </w:r>
          </w:p>
        </w:tc>
        <w:tc>
          <w:tcPr>
            <w:tcW w:w="850" w:type="dxa"/>
          </w:tcPr>
          <w:p w14:paraId="0F143ACF" w14:textId="77777777" w:rsidR="00D91A46" w:rsidRPr="00CE6BD3" w:rsidRDefault="00D91A46" w:rsidP="006C0531">
            <w:pPr>
              <w:pStyle w:val="NoSpacing"/>
              <w:ind w:firstLine="0"/>
              <w:jc w:val="center"/>
              <w:rPr>
                <w:rStyle w:val="Heading1Char"/>
                <w:b w:val="0"/>
              </w:rPr>
            </w:pPr>
            <w:r w:rsidRPr="00CE6BD3">
              <w:rPr>
                <w:rStyle w:val="Heading1Char"/>
              </w:rPr>
              <w:t>0,151678</w:t>
            </w:r>
          </w:p>
        </w:tc>
        <w:tc>
          <w:tcPr>
            <w:tcW w:w="850" w:type="dxa"/>
          </w:tcPr>
          <w:p w14:paraId="1620D3BF" w14:textId="77777777" w:rsidR="00D91A46" w:rsidRPr="00CE6BD3" w:rsidRDefault="00D91A46" w:rsidP="006C0531">
            <w:pPr>
              <w:pStyle w:val="NoSpacing"/>
              <w:ind w:firstLine="0"/>
              <w:jc w:val="center"/>
              <w:rPr>
                <w:rStyle w:val="Heading1Char"/>
                <w:b w:val="0"/>
              </w:rPr>
            </w:pPr>
            <w:r w:rsidRPr="00CE6BD3">
              <w:rPr>
                <w:rStyle w:val="Heading1Char"/>
              </w:rPr>
              <w:t>0,194856</w:t>
            </w:r>
          </w:p>
        </w:tc>
        <w:tc>
          <w:tcPr>
            <w:tcW w:w="850" w:type="dxa"/>
          </w:tcPr>
          <w:p w14:paraId="0467F0E0" w14:textId="77777777" w:rsidR="00D91A46" w:rsidRPr="00CE6BD3" w:rsidRDefault="00D91A46" w:rsidP="006C0531">
            <w:pPr>
              <w:pStyle w:val="NoSpacing"/>
              <w:ind w:firstLine="0"/>
              <w:jc w:val="center"/>
              <w:rPr>
                <w:rStyle w:val="Heading1Char"/>
                <w:b w:val="0"/>
              </w:rPr>
            </w:pPr>
            <w:r w:rsidRPr="00CE6BD3">
              <w:rPr>
                <w:rStyle w:val="Heading1Char"/>
              </w:rPr>
              <w:t>0,172214</w:t>
            </w:r>
          </w:p>
        </w:tc>
        <w:tc>
          <w:tcPr>
            <w:tcW w:w="850" w:type="dxa"/>
          </w:tcPr>
          <w:p w14:paraId="2290747A" w14:textId="77777777" w:rsidR="00D91A46" w:rsidRPr="00CE6BD3" w:rsidRDefault="00D91A46" w:rsidP="006C0531">
            <w:pPr>
              <w:pStyle w:val="NoSpacing"/>
              <w:ind w:firstLine="0"/>
              <w:jc w:val="center"/>
              <w:rPr>
                <w:rStyle w:val="Heading1Char"/>
                <w:b w:val="0"/>
              </w:rPr>
            </w:pPr>
            <w:r w:rsidRPr="00CE6BD3">
              <w:rPr>
                <w:rStyle w:val="Heading1Char"/>
              </w:rPr>
              <w:t>0,164305</w:t>
            </w:r>
          </w:p>
        </w:tc>
      </w:tr>
      <w:tr w:rsidR="00D91A46" w:rsidRPr="00CE6BD3" w14:paraId="7B0617F9" w14:textId="77777777" w:rsidTr="006C0531">
        <w:tc>
          <w:tcPr>
            <w:tcW w:w="421" w:type="dxa"/>
          </w:tcPr>
          <w:p w14:paraId="68CB2C95" w14:textId="77777777" w:rsidR="00D91A46" w:rsidRPr="00CE6BD3" w:rsidRDefault="00D91A46" w:rsidP="006C0531">
            <w:pPr>
              <w:pStyle w:val="NoSpacing"/>
              <w:ind w:firstLine="0"/>
              <w:jc w:val="center"/>
              <w:rPr>
                <w:rStyle w:val="Heading1Char"/>
                <w:b w:val="0"/>
              </w:rPr>
            </w:pPr>
            <w:bookmarkStart w:id="74" w:name="_Toc136359873"/>
            <w:bookmarkStart w:id="75" w:name="_Toc136384981"/>
            <w:bookmarkStart w:id="76" w:name="_Toc136447702"/>
            <w:bookmarkStart w:id="77" w:name="_Toc136452204"/>
            <w:r w:rsidRPr="00CE6BD3">
              <w:rPr>
                <w:rStyle w:val="Heading1Char"/>
              </w:rPr>
              <w:t>8</w:t>
            </w:r>
            <w:bookmarkEnd w:id="74"/>
            <w:bookmarkEnd w:id="75"/>
            <w:bookmarkEnd w:id="76"/>
            <w:bookmarkEnd w:id="77"/>
          </w:p>
        </w:tc>
        <w:tc>
          <w:tcPr>
            <w:tcW w:w="707" w:type="dxa"/>
          </w:tcPr>
          <w:p w14:paraId="557A42D8" w14:textId="77777777" w:rsidR="00D91A46" w:rsidRPr="00CE6BD3" w:rsidRDefault="00D91A46" w:rsidP="006C0531">
            <w:pPr>
              <w:ind w:firstLine="0"/>
              <w:jc w:val="center"/>
              <w:rPr>
                <w:rStyle w:val="Heading1Char"/>
                <w:b w:val="0"/>
              </w:rPr>
            </w:pPr>
            <w:r w:rsidRPr="00CE6BD3">
              <w:t>TMPO</w:t>
            </w:r>
          </w:p>
        </w:tc>
        <w:tc>
          <w:tcPr>
            <w:tcW w:w="850" w:type="dxa"/>
          </w:tcPr>
          <w:p w14:paraId="4E6335D4" w14:textId="77777777" w:rsidR="00D91A46" w:rsidRPr="00CE6BD3" w:rsidRDefault="00D91A46" w:rsidP="006C0531">
            <w:pPr>
              <w:pStyle w:val="NoSpacing"/>
              <w:ind w:firstLine="0"/>
              <w:jc w:val="center"/>
              <w:rPr>
                <w:rStyle w:val="Heading1Char"/>
                <w:b w:val="0"/>
              </w:rPr>
            </w:pPr>
            <w:r w:rsidRPr="00CE6BD3">
              <w:rPr>
                <w:rStyle w:val="Heading1Char"/>
              </w:rPr>
              <w:t>0,308349</w:t>
            </w:r>
          </w:p>
        </w:tc>
        <w:tc>
          <w:tcPr>
            <w:tcW w:w="850" w:type="dxa"/>
          </w:tcPr>
          <w:p w14:paraId="4F14EC4B" w14:textId="77777777" w:rsidR="00D91A46" w:rsidRPr="00CE6BD3" w:rsidRDefault="00D91A46" w:rsidP="006C0531">
            <w:pPr>
              <w:pStyle w:val="NoSpacing"/>
              <w:ind w:firstLine="0"/>
              <w:jc w:val="center"/>
              <w:rPr>
                <w:rStyle w:val="Heading1Char"/>
                <w:b w:val="0"/>
              </w:rPr>
            </w:pPr>
            <w:r w:rsidRPr="00CE6BD3">
              <w:rPr>
                <w:rStyle w:val="Heading1Char"/>
              </w:rPr>
              <w:t>0,299563</w:t>
            </w:r>
          </w:p>
        </w:tc>
        <w:tc>
          <w:tcPr>
            <w:tcW w:w="850" w:type="dxa"/>
          </w:tcPr>
          <w:p w14:paraId="70B9D0C2" w14:textId="77777777" w:rsidR="00D91A46" w:rsidRPr="00CE6BD3" w:rsidRDefault="00D91A46" w:rsidP="006C0531">
            <w:pPr>
              <w:pStyle w:val="NoSpacing"/>
              <w:ind w:firstLine="0"/>
              <w:jc w:val="center"/>
              <w:rPr>
                <w:rStyle w:val="Heading1Char"/>
                <w:b w:val="0"/>
              </w:rPr>
            </w:pPr>
            <w:r w:rsidRPr="00CE6BD3">
              <w:rPr>
                <w:rStyle w:val="Heading1Char"/>
              </w:rPr>
              <w:t>0,287114</w:t>
            </w:r>
          </w:p>
        </w:tc>
        <w:tc>
          <w:tcPr>
            <w:tcW w:w="850" w:type="dxa"/>
          </w:tcPr>
          <w:p w14:paraId="238AA8AD" w14:textId="77777777" w:rsidR="00D91A46" w:rsidRPr="00CE6BD3" w:rsidRDefault="00D91A46" w:rsidP="006C0531">
            <w:pPr>
              <w:pStyle w:val="NoSpacing"/>
              <w:ind w:firstLine="0"/>
              <w:jc w:val="center"/>
            </w:pPr>
            <w:r w:rsidRPr="00CE6BD3">
              <w:t>0,333500</w:t>
            </w:r>
          </w:p>
        </w:tc>
        <w:tc>
          <w:tcPr>
            <w:tcW w:w="850" w:type="dxa"/>
          </w:tcPr>
          <w:p w14:paraId="1975B49D" w14:textId="77777777" w:rsidR="00D91A46" w:rsidRPr="00CE6BD3" w:rsidRDefault="00D91A46" w:rsidP="006C0531">
            <w:pPr>
              <w:pStyle w:val="NoSpacing"/>
              <w:ind w:firstLine="0"/>
              <w:jc w:val="center"/>
              <w:rPr>
                <w:rStyle w:val="Heading1Char"/>
                <w:b w:val="0"/>
              </w:rPr>
            </w:pPr>
            <w:r w:rsidRPr="00CE6BD3">
              <w:rPr>
                <w:rStyle w:val="Heading1Char"/>
              </w:rPr>
              <w:t>0,445816</w:t>
            </w:r>
          </w:p>
        </w:tc>
        <w:tc>
          <w:tcPr>
            <w:tcW w:w="850" w:type="dxa"/>
          </w:tcPr>
          <w:p w14:paraId="539EB49D" w14:textId="77777777" w:rsidR="00D91A46" w:rsidRPr="00CE6BD3" w:rsidRDefault="00D91A46" w:rsidP="006C0531">
            <w:pPr>
              <w:pStyle w:val="NoSpacing"/>
              <w:ind w:firstLine="0"/>
              <w:jc w:val="center"/>
              <w:rPr>
                <w:rStyle w:val="Heading1Char"/>
                <w:b w:val="0"/>
              </w:rPr>
            </w:pPr>
            <w:r w:rsidRPr="00CE6BD3">
              <w:rPr>
                <w:rStyle w:val="Heading1Char"/>
              </w:rPr>
              <w:t>0,427681</w:t>
            </w:r>
          </w:p>
        </w:tc>
        <w:tc>
          <w:tcPr>
            <w:tcW w:w="850" w:type="dxa"/>
          </w:tcPr>
          <w:p w14:paraId="0A83D31D" w14:textId="77777777" w:rsidR="00D91A46" w:rsidRPr="00CE6BD3" w:rsidRDefault="00D91A46" w:rsidP="006C0531">
            <w:pPr>
              <w:pStyle w:val="NoSpacing"/>
              <w:ind w:firstLine="0"/>
              <w:jc w:val="center"/>
              <w:rPr>
                <w:rStyle w:val="Heading1Char"/>
                <w:b w:val="0"/>
              </w:rPr>
            </w:pPr>
            <w:r w:rsidRPr="00CE6BD3">
              <w:rPr>
                <w:rStyle w:val="Heading1Char"/>
              </w:rPr>
              <w:t>0,402749</w:t>
            </w:r>
          </w:p>
        </w:tc>
        <w:tc>
          <w:tcPr>
            <w:tcW w:w="850" w:type="dxa"/>
          </w:tcPr>
          <w:p w14:paraId="7E46BE79" w14:textId="77777777" w:rsidR="00D91A46" w:rsidRPr="00CE6BD3" w:rsidRDefault="00D91A46" w:rsidP="006C0531">
            <w:pPr>
              <w:pStyle w:val="NoSpacing"/>
              <w:ind w:firstLine="0"/>
              <w:jc w:val="center"/>
            </w:pPr>
            <w:r w:rsidRPr="00CE6BD3">
              <w:t>0,500376</w:t>
            </w:r>
          </w:p>
        </w:tc>
      </w:tr>
    </w:tbl>
    <w:p w14:paraId="33D29A94" w14:textId="77777777" w:rsidR="00D91A46" w:rsidRPr="00CE6BD3" w:rsidRDefault="00D91A46" w:rsidP="00D91A46">
      <w:pPr>
        <w:pStyle w:val="NoSpacing"/>
        <w:ind w:firstLine="360"/>
      </w:pPr>
      <w:r w:rsidRPr="00CE6BD3">
        <w:t>Sumber: Annual Report (Hasil Pengolahan Data,2021)</w:t>
      </w:r>
    </w:p>
    <w:p w14:paraId="3180E1A1" w14:textId="77777777" w:rsidR="00D91A46" w:rsidRPr="00CE6BD3" w:rsidRDefault="00D91A46" w:rsidP="00D91A46">
      <w:pPr>
        <w:pStyle w:val="NoSpacing"/>
        <w:ind w:firstLine="360"/>
      </w:pPr>
    </w:p>
    <w:p w14:paraId="385CAA5E" w14:textId="77777777" w:rsidR="00D91A46" w:rsidRPr="00CE6BD3" w:rsidRDefault="00D91A46" w:rsidP="00D91A46">
      <w:pPr>
        <w:pStyle w:val="NoSpacing"/>
        <w:ind w:firstLine="360"/>
        <w:rPr>
          <w:rStyle w:val="Heading1Char"/>
          <w:b w:val="0"/>
          <w:lang w:val="en-US"/>
        </w:rPr>
      </w:pPr>
    </w:p>
    <w:p w14:paraId="5600998F" w14:textId="77777777" w:rsidR="00D91A46" w:rsidRPr="00CE6BD3" w:rsidRDefault="00D91A46" w:rsidP="00D91A46">
      <w:pPr>
        <w:pStyle w:val="Heading1"/>
        <w:numPr>
          <w:ilvl w:val="1"/>
          <w:numId w:val="3"/>
        </w:numPr>
        <w:ind w:left="1800"/>
      </w:pPr>
      <w:bookmarkStart w:id="78" w:name="_Toc136359877"/>
      <w:bookmarkStart w:id="79" w:name="_Toc136452208"/>
      <w:r w:rsidRPr="00CE6BD3">
        <w:t>Pembatasan Masalah</w:t>
      </w:r>
      <w:bookmarkEnd w:id="78"/>
      <w:bookmarkEnd w:id="79"/>
    </w:p>
    <w:p w14:paraId="700FF2BD" w14:textId="77777777" w:rsidR="00D91A46" w:rsidRPr="00CE6BD3" w:rsidRDefault="00D91A46" w:rsidP="00D91A46">
      <w:pPr>
        <w:ind w:left="360" w:firstLine="360"/>
      </w:pPr>
      <w:r w:rsidRPr="00CE6BD3">
        <w:rPr>
          <w:rStyle w:val="selectable-text"/>
        </w:rPr>
        <w:t>Membatasi kesulitan dalam penelitian ini pada yang menyangkut</w:t>
      </w:r>
      <w:r w:rsidRPr="00464691">
        <w:rPr>
          <w:rStyle w:val="selectable-text"/>
        </w:rPr>
        <w:t xml:space="preserve"> u</w:t>
      </w:r>
      <w:r>
        <w:rPr>
          <w:rStyle w:val="selectable-text"/>
        </w:rPr>
        <w:t>tang PPh badan dipengaruhi oleh rasio panjang utang terhadap ekuitas</w:t>
      </w:r>
      <w:r w:rsidRPr="00464691">
        <w:rPr>
          <w:rStyle w:val="selectable-text"/>
        </w:rPr>
        <w:t>,</w:t>
      </w:r>
      <w:r>
        <w:rPr>
          <w:rStyle w:val="selectable-text"/>
        </w:rPr>
        <w:t xml:space="preserve"> rasio utang terhadap aset</w:t>
      </w:r>
      <w:r w:rsidRPr="00464691">
        <w:rPr>
          <w:rStyle w:val="selectable-text"/>
        </w:rPr>
        <w:t xml:space="preserve"> </w:t>
      </w:r>
      <w:r>
        <w:rPr>
          <w:rStyle w:val="selectable-text"/>
        </w:rPr>
        <w:t>dan penerapan perencanaan pajak</w:t>
      </w:r>
      <w:r>
        <w:rPr>
          <w:rStyle w:val="selectable-text"/>
          <w:lang w:val="en-US"/>
        </w:rPr>
        <w:t xml:space="preserve"> </w:t>
      </w:r>
      <w:r w:rsidRPr="00CE6BD3">
        <w:rPr>
          <w:rStyle w:val="selectable-text"/>
        </w:rPr>
        <w:t>adalah penting untuk mencegah penelitian menjadi terlalu luas.</w:t>
      </w:r>
      <w:r w:rsidRPr="00464691">
        <w:t xml:space="preserve"> </w:t>
      </w:r>
      <w:r w:rsidRPr="00CE6BD3">
        <w:t>(studi empiris untuk entitas manufaktur nan tercatat di BEI tahun 2019-202</w:t>
      </w:r>
      <w:r w:rsidRPr="00CE6BD3">
        <w:rPr>
          <w:lang w:val="en-US"/>
        </w:rPr>
        <w:t>)</w:t>
      </w:r>
      <w:r w:rsidRPr="00CE6BD3">
        <w:t>.</w:t>
      </w:r>
    </w:p>
    <w:p w14:paraId="2EE03D2A" w14:textId="77777777" w:rsidR="00D91A46" w:rsidRPr="00CE6BD3" w:rsidRDefault="00D91A46" w:rsidP="00D91A46">
      <w:pPr>
        <w:pStyle w:val="Heading1"/>
        <w:numPr>
          <w:ilvl w:val="1"/>
          <w:numId w:val="3"/>
        </w:numPr>
        <w:ind w:left="1800"/>
      </w:pPr>
      <w:bookmarkStart w:id="80" w:name="_Toc136359878"/>
      <w:bookmarkStart w:id="81" w:name="_Toc136452209"/>
      <w:r w:rsidRPr="00CE6BD3">
        <w:t>Rumusan Masalah</w:t>
      </w:r>
      <w:bookmarkEnd w:id="80"/>
      <w:bookmarkEnd w:id="81"/>
    </w:p>
    <w:p w14:paraId="6B973B83" w14:textId="77777777" w:rsidR="00D91A46" w:rsidRPr="00CE6BD3" w:rsidRDefault="00D91A46" w:rsidP="00D91A46">
      <w:pPr>
        <w:pStyle w:val="ListParagraph"/>
        <w:ind w:left="360" w:firstLine="0"/>
      </w:pPr>
      <w:r w:rsidRPr="00CE6BD3">
        <w:rPr>
          <w:lang w:val="en-US"/>
        </w:rPr>
        <w:t xml:space="preserve">Rumusan masalah dari latar belakang yang telah diberikan sebelumnya adaalah </w:t>
      </w:r>
      <w:r w:rsidRPr="00CE6BD3">
        <w:t xml:space="preserve">sebagai berikut: </w:t>
      </w:r>
    </w:p>
    <w:p w14:paraId="23D306D4" w14:textId="77777777" w:rsidR="00D91A46" w:rsidRPr="00CE6BD3" w:rsidRDefault="00D91A46" w:rsidP="00D91A46">
      <w:pPr>
        <w:pStyle w:val="ListParagraph"/>
        <w:numPr>
          <w:ilvl w:val="0"/>
          <w:numId w:val="4"/>
        </w:numPr>
      </w:pPr>
      <w:r w:rsidRPr="00CE6BD3">
        <w:t xml:space="preserve"> Apakah</w:t>
      </w:r>
      <w:r w:rsidRPr="00CE6BD3">
        <w:rPr>
          <w:lang w:val="en-US"/>
        </w:rPr>
        <w:t xml:space="preserve"> pajak penghasilan badan yang harus dibayar oleh pelaku usaha yang terdaftar di BEI bergantung pada rasio hutang jangka panjang terhadap aset</w:t>
      </w:r>
      <w:r w:rsidRPr="00CE6BD3">
        <w:t xml:space="preserve"> Longterm Debt to Asset Ratio (LDAR)? </w:t>
      </w:r>
    </w:p>
    <w:p w14:paraId="71B9BEC4" w14:textId="77777777" w:rsidR="00D91A46" w:rsidRPr="00CE6BD3" w:rsidRDefault="00D91A46" w:rsidP="00D91A46">
      <w:pPr>
        <w:pStyle w:val="ListParagraph"/>
        <w:numPr>
          <w:ilvl w:val="0"/>
          <w:numId w:val="4"/>
        </w:numPr>
      </w:pPr>
      <w:r w:rsidRPr="00CE6BD3">
        <w:t>Apakah</w:t>
      </w:r>
      <w:r w:rsidRPr="00CE6BD3">
        <w:rPr>
          <w:lang w:val="en-US"/>
        </w:rPr>
        <w:t xml:space="preserve"> pajak penghasilan badan yang harus dibayar oleh perusahaan yang terdaftar di BEI bergantung pada </w:t>
      </w:r>
      <w:r w:rsidRPr="006C5EBE">
        <w:t>Debt to Equity Ratio (DER)</w:t>
      </w:r>
      <w:r w:rsidRPr="006C5EBE">
        <w:rPr>
          <w:lang w:val="en-US"/>
        </w:rPr>
        <w:t>?</w:t>
      </w:r>
    </w:p>
    <w:p w14:paraId="7DD8578A" w14:textId="77777777" w:rsidR="00D91A46" w:rsidRPr="00CE6BD3" w:rsidRDefault="00D91A46" w:rsidP="00D91A46">
      <w:pPr>
        <w:pStyle w:val="ListParagraph"/>
        <w:numPr>
          <w:ilvl w:val="0"/>
          <w:numId w:val="4"/>
        </w:numPr>
      </w:pPr>
      <w:r w:rsidRPr="00CE6BD3">
        <w:t>Apakah</w:t>
      </w:r>
      <w:r w:rsidRPr="003653A5">
        <w:t xml:space="preserve"> </w:t>
      </w:r>
      <w:r>
        <w:rPr>
          <w:rStyle w:val="selectable-text"/>
        </w:rPr>
        <w:t>Pajak penghasilan badan yang terutang bagi perusahaan yang terdaftar di BEI ditentukan dengan menggabungkan rasio utang terhadap ekuitas (DER) dan rasio utang terhadap aset (LDAR) jangka panjang.</w:t>
      </w:r>
      <w:r w:rsidRPr="003653A5">
        <w:t xml:space="preserve"> </w:t>
      </w:r>
    </w:p>
    <w:p w14:paraId="6FA35087" w14:textId="77777777" w:rsidR="00D91A46" w:rsidRPr="00BC22DF" w:rsidRDefault="00D91A46" w:rsidP="00D91A46">
      <w:pPr>
        <w:pStyle w:val="Heading1"/>
        <w:numPr>
          <w:ilvl w:val="1"/>
          <w:numId w:val="3"/>
        </w:numPr>
        <w:ind w:left="1800"/>
      </w:pPr>
      <w:bookmarkStart w:id="82" w:name="_Toc136359879"/>
      <w:bookmarkStart w:id="83" w:name="_Toc136452210"/>
      <w:r w:rsidRPr="00BC22DF">
        <w:t>Tujuan Penelitian</w:t>
      </w:r>
      <w:bookmarkEnd w:id="82"/>
      <w:bookmarkEnd w:id="83"/>
    </w:p>
    <w:p w14:paraId="67552D92" w14:textId="77777777" w:rsidR="00D91A46" w:rsidRPr="00BC22DF" w:rsidRDefault="00D91A46" w:rsidP="00D91A46">
      <w:pPr>
        <w:pStyle w:val="ListParagraph"/>
        <w:ind w:left="360" w:firstLine="0"/>
      </w:pPr>
      <w:r w:rsidRPr="00BC22DF">
        <w:rPr>
          <w:lang w:val="en-US"/>
        </w:rPr>
        <w:t>Berikut ini adalah t</w:t>
      </w:r>
      <w:r w:rsidRPr="00BC22DF">
        <w:t>ujuan yang ingin dicapai</w:t>
      </w:r>
      <w:r w:rsidRPr="00BC22DF">
        <w:rPr>
          <w:lang w:val="en-US"/>
        </w:rPr>
        <w:t xml:space="preserve"> oleh </w:t>
      </w:r>
      <w:r w:rsidRPr="00BC22DF">
        <w:t xml:space="preserve"> penelitian ini </w:t>
      </w:r>
      <w:r w:rsidRPr="00BC22DF">
        <w:rPr>
          <w:lang w:val="en-US"/>
        </w:rPr>
        <w:t>sebagai berikut</w:t>
      </w:r>
      <w:r w:rsidRPr="00BC22DF">
        <w:t xml:space="preserve">: </w:t>
      </w:r>
    </w:p>
    <w:p w14:paraId="49C234D9" w14:textId="77777777" w:rsidR="00D91A46" w:rsidRPr="00BC22DF" w:rsidRDefault="00D91A46" w:rsidP="00D91A46">
      <w:pPr>
        <w:pStyle w:val="ListParagraph"/>
        <w:numPr>
          <w:ilvl w:val="0"/>
          <w:numId w:val="5"/>
        </w:numPr>
      </w:pPr>
      <w:r w:rsidRPr="00BC22DF">
        <w:rPr>
          <w:rStyle w:val="selectable-text"/>
        </w:rPr>
        <w:t>Untuk mengetahui bagaimana pengaruh Long-Term Debt to Asset Ratio (LDAR) terhadap pajak penghasilan badan yang terutang pada perusahaan yang terdaftar di BEI.</w:t>
      </w:r>
    </w:p>
    <w:p w14:paraId="3A723782" w14:textId="77777777" w:rsidR="00D91A46" w:rsidRPr="00BC22DF" w:rsidRDefault="00D91A46" w:rsidP="00D91A46">
      <w:pPr>
        <w:pStyle w:val="ListParagraph"/>
        <w:numPr>
          <w:ilvl w:val="0"/>
          <w:numId w:val="5"/>
        </w:numPr>
      </w:pPr>
      <w:r w:rsidRPr="00BC22DF">
        <w:rPr>
          <w:rStyle w:val="selectable-text"/>
        </w:rPr>
        <w:lastRenderedPageBreak/>
        <w:t xml:space="preserve">Untuk mengetahui bagaimana pengaruh Debt to Equity Ratio (DER) terhadap pajak penghasilan badan yang harus dibayar oleh perusahaan yang terdaftar di BEI. </w:t>
      </w:r>
    </w:p>
    <w:p w14:paraId="4AC8456D" w14:textId="77777777" w:rsidR="00D91A46" w:rsidRPr="00BC22DF" w:rsidRDefault="00D91A46" w:rsidP="00D91A46">
      <w:pPr>
        <w:pStyle w:val="ListParagraph"/>
        <w:numPr>
          <w:ilvl w:val="0"/>
          <w:numId w:val="5"/>
        </w:numPr>
      </w:pPr>
      <w:r w:rsidRPr="00BC22DF">
        <w:rPr>
          <w:rStyle w:val="selectable-text"/>
        </w:rPr>
        <w:t>Untuk mengetahui bagaimana pengaruh Debt to Equity Ratio (DER) dan Long Term Asset Ratio (LDAR) terhadap Pajak Penghasilan Badan yang harus dibayar oleh perusahaan manufaktur yang terdaftar di BEI.</w:t>
      </w:r>
      <w:r w:rsidRPr="00BC22DF">
        <w:t xml:space="preserve"> </w:t>
      </w:r>
    </w:p>
    <w:p w14:paraId="001C4037" w14:textId="77777777" w:rsidR="00D91A46" w:rsidRPr="00BC22DF" w:rsidRDefault="00D91A46" w:rsidP="00D91A46">
      <w:pPr>
        <w:pStyle w:val="Heading1"/>
        <w:numPr>
          <w:ilvl w:val="1"/>
          <w:numId w:val="3"/>
        </w:numPr>
        <w:ind w:left="1800"/>
      </w:pPr>
      <w:bookmarkStart w:id="84" w:name="_Toc136359880"/>
      <w:bookmarkStart w:id="85" w:name="_Toc136452211"/>
      <w:r w:rsidRPr="00BC22DF">
        <w:t>Kegunaan Penelitian</w:t>
      </w:r>
      <w:bookmarkEnd w:id="84"/>
      <w:bookmarkEnd w:id="85"/>
    </w:p>
    <w:p w14:paraId="56D83ABF" w14:textId="77777777" w:rsidR="00D91A46" w:rsidRPr="00BC22DF" w:rsidRDefault="00D91A46" w:rsidP="00D91A46">
      <w:pPr>
        <w:ind w:left="360" w:firstLine="0"/>
      </w:pPr>
      <w:r w:rsidRPr="00BC22DF">
        <w:t>Manfaat yang diharapkan dari penelitian ini adalah:</w:t>
      </w:r>
    </w:p>
    <w:p w14:paraId="40529724" w14:textId="77777777" w:rsidR="00D91A46" w:rsidRPr="00BC22DF" w:rsidRDefault="00D91A46" w:rsidP="00D91A46">
      <w:pPr>
        <w:pStyle w:val="ListParagraph"/>
        <w:numPr>
          <w:ilvl w:val="0"/>
          <w:numId w:val="6"/>
        </w:numPr>
      </w:pPr>
      <w:r w:rsidRPr="00BC22DF">
        <w:rPr>
          <w:rStyle w:val="selectable-text"/>
        </w:rPr>
        <w:t>Dengan mempertimbangkan implikasi perpajakan, penelitian ini dapat membantu bisnis dengan struktur modalnya.</w:t>
      </w:r>
      <w:r w:rsidRPr="00BC22DF">
        <w:t xml:space="preserve"> </w:t>
      </w:r>
    </w:p>
    <w:p w14:paraId="3B7D1B91" w14:textId="77777777" w:rsidR="00D91A46" w:rsidRPr="00BC22DF" w:rsidRDefault="00D91A46" w:rsidP="00D91A46">
      <w:pPr>
        <w:pStyle w:val="ListParagraph"/>
        <w:numPr>
          <w:ilvl w:val="0"/>
          <w:numId w:val="6"/>
        </w:numPr>
      </w:pPr>
      <w:r w:rsidRPr="00BC22DF">
        <w:rPr>
          <w:lang w:val="en-US"/>
        </w:rPr>
        <w:t xml:space="preserve">Untuk Administrasi </w:t>
      </w:r>
      <w:r w:rsidRPr="00BC22DF">
        <w:t xml:space="preserve"> </w:t>
      </w:r>
    </w:p>
    <w:p w14:paraId="49975B33" w14:textId="77777777" w:rsidR="00D91A46" w:rsidRPr="00CE6BD3" w:rsidRDefault="00D91A46" w:rsidP="00D91A46">
      <w:pPr>
        <w:pStyle w:val="ListParagraph"/>
        <w:numPr>
          <w:ilvl w:val="0"/>
          <w:numId w:val="6"/>
        </w:numPr>
      </w:pPr>
      <w:r w:rsidRPr="00BC22DF">
        <w:rPr>
          <w:rStyle w:val="selectable-text"/>
        </w:rPr>
        <w:t>penulis sungguh-sungguh bercita-cita untuk dapat memanfaatkan ilmu yang diperol</w:t>
      </w:r>
      <w:r>
        <w:rPr>
          <w:rStyle w:val="selectable-text"/>
        </w:rPr>
        <w:t>ehnya dari mengikuti perkuliahan</w:t>
      </w:r>
      <w:r w:rsidRPr="003653A5">
        <w:rPr>
          <w:rStyle w:val="selectable-text"/>
        </w:rPr>
        <w:t>, p</w:t>
      </w:r>
      <w:r>
        <w:rPr>
          <w:rStyle w:val="selectable-text"/>
        </w:rPr>
        <w:t>enulis berpendapat bahwa penelitian ini sangat membantu dalam mempelajari struktur modal perusahaan, perpajakan, dan bagaimana topik-topik ini digunakan di lapangan</w:t>
      </w:r>
      <w:r w:rsidRPr="003653A5">
        <w:rPr>
          <w:rStyle w:val="selectable-text"/>
        </w:rPr>
        <w:t>.</w:t>
      </w:r>
    </w:p>
    <w:p w14:paraId="7A7722C6" w14:textId="77777777" w:rsidR="00362485" w:rsidRPr="00D91A46" w:rsidRDefault="00362485" w:rsidP="00D91A46"/>
    <w:sectPr w:rsidR="00362485" w:rsidRPr="00D91A46" w:rsidSect="00C76D5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0B26" w14:textId="77777777" w:rsidR="00600A23" w:rsidRDefault="00600A23" w:rsidP="00DF2E7A">
      <w:pPr>
        <w:spacing w:line="240" w:lineRule="auto"/>
      </w:pPr>
      <w:r>
        <w:separator/>
      </w:r>
    </w:p>
  </w:endnote>
  <w:endnote w:type="continuationSeparator" w:id="0">
    <w:p w14:paraId="36B03FE4" w14:textId="77777777" w:rsidR="00600A23" w:rsidRDefault="00600A23" w:rsidP="00DF2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DC49" w14:textId="77777777" w:rsidR="00DF2E7A" w:rsidRDefault="00DF2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ECF0" w14:textId="77777777" w:rsidR="00DF2E7A" w:rsidRDefault="00DF2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E961" w14:textId="77777777" w:rsidR="00DF2E7A" w:rsidRDefault="00DF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38CA8" w14:textId="77777777" w:rsidR="00600A23" w:rsidRDefault="00600A23" w:rsidP="00DF2E7A">
      <w:pPr>
        <w:spacing w:line="240" w:lineRule="auto"/>
      </w:pPr>
      <w:r>
        <w:separator/>
      </w:r>
    </w:p>
  </w:footnote>
  <w:footnote w:type="continuationSeparator" w:id="0">
    <w:p w14:paraId="1D45F841" w14:textId="77777777" w:rsidR="00600A23" w:rsidRDefault="00600A23" w:rsidP="00DF2E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DE74" w14:textId="7A77FD84" w:rsidR="00DF2E7A" w:rsidRDefault="00DF2E7A">
    <w:pPr>
      <w:pStyle w:val="Header"/>
    </w:pPr>
    <w:r>
      <w:rPr>
        <w14:ligatures w14:val="standardContextual"/>
      </w:rPr>
      <w:pict w14:anchorId="68459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470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ECA1" w14:textId="5179C201" w:rsidR="00DF2E7A" w:rsidRDefault="00DF2E7A">
    <w:pPr>
      <w:pStyle w:val="Header"/>
    </w:pPr>
    <w:r>
      <w:rPr>
        <w14:ligatures w14:val="standardContextual"/>
      </w:rPr>
      <w:pict w14:anchorId="4714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47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1E75" w14:textId="1DE5952D" w:rsidR="00DF2E7A" w:rsidRDefault="00DF2E7A">
    <w:pPr>
      <w:pStyle w:val="Header"/>
    </w:pPr>
    <w:r>
      <w:rPr>
        <w14:ligatures w14:val="standardContextual"/>
      </w:rPr>
      <w:pict w14:anchorId="0B98A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470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DA6"/>
    <w:multiLevelType w:val="hybridMultilevel"/>
    <w:tmpl w:val="8C866B36"/>
    <w:lvl w:ilvl="0" w:tplc="6BDAFB9E">
      <w:start w:val="1"/>
      <w:numFmt w:val="lowerLetter"/>
      <w:lvlText w:val="%1."/>
      <w:lvlJc w:val="left"/>
      <w:pPr>
        <w:ind w:left="720" w:hanging="360"/>
      </w:pPr>
      <w:rPr>
        <w:rFonts w:hint="default"/>
      </w:rPr>
    </w:lvl>
    <w:lvl w:ilvl="1" w:tplc="8A0426A0" w:tentative="1">
      <w:start w:val="1"/>
      <w:numFmt w:val="lowerLetter"/>
      <w:lvlText w:val="%2."/>
      <w:lvlJc w:val="left"/>
      <w:pPr>
        <w:ind w:left="1440" w:hanging="360"/>
      </w:pPr>
    </w:lvl>
    <w:lvl w:ilvl="2" w:tplc="4C4A42C8" w:tentative="1">
      <w:start w:val="1"/>
      <w:numFmt w:val="lowerRoman"/>
      <w:lvlText w:val="%3."/>
      <w:lvlJc w:val="right"/>
      <w:pPr>
        <w:ind w:left="2160" w:hanging="180"/>
      </w:pPr>
    </w:lvl>
    <w:lvl w:ilvl="3" w:tplc="7B0AAB70" w:tentative="1">
      <w:start w:val="1"/>
      <w:numFmt w:val="decimal"/>
      <w:lvlText w:val="%4."/>
      <w:lvlJc w:val="left"/>
      <w:pPr>
        <w:ind w:left="2880" w:hanging="360"/>
      </w:pPr>
    </w:lvl>
    <w:lvl w:ilvl="4" w:tplc="7AF8EC6C" w:tentative="1">
      <w:start w:val="1"/>
      <w:numFmt w:val="lowerLetter"/>
      <w:lvlText w:val="%5."/>
      <w:lvlJc w:val="left"/>
      <w:pPr>
        <w:ind w:left="3600" w:hanging="360"/>
      </w:pPr>
    </w:lvl>
    <w:lvl w:ilvl="5" w:tplc="93025A08" w:tentative="1">
      <w:start w:val="1"/>
      <w:numFmt w:val="lowerRoman"/>
      <w:lvlText w:val="%6."/>
      <w:lvlJc w:val="right"/>
      <w:pPr>
        <w:ind w:left="4320" w:hanging="180"/>
      </w:pPr>
    </w:lvl>
    <w:lvl w:ilvl="6" w:tplc="53288A0A" w:tentative="1">
      <w:start w:val="1"/>
      <w:numFmt w:val="decimal"/>
      <w:lvlText w:val="%7."/>
      <w:lvlJc w:val="left"/>
      <w:pPr>
        <w:ind w:left="5040" w:hanging="360"/>
      </w:pPr>
    </w:lvl>
    <w:lvl w:ilvl="7" w:tplc="482AC9B0" w:tentative="1">
      <w:start w:val="1"/>
      <w:numFmt w:val="lowerLetter"/>
      <w:lvlText w:val="%8."/>
      <w:lvlJc w:val="left"/>
      <w:pPr>
        <w:ind w:left="5760" w:hanging="360"/>
      </w:pPr>
    </w:lvl>
    <w:lvl w:ilvl="8" w:tplc="0B32D392" w:tentative="1">
      <w:start w:val="1"/>
      <w:numFmt w:val="lowerRoman"/>
      <w:lvlText w:val="%9."/>
      <w:lvlJc w:val="right"/>
      <w:pPr>
        <w:ind w:left="6480" w:hanging="180"/>
      </w:pPr>
    </w:lvl>
  </w:abstractNum>
  <w:abstractNum w:abstractNumId="1" w15:restartNumberingAfterBreak="0">
    <w:nsid w:val="33770F2E"/>
    <w:multiLevelType w:val="hybridMultilevel"/>
    <w:tmpl w:val="12827896"/>
    <w:lvl w:ilvl="0" w:tplc="CE04F3B6">
      <w:start w:val="1"/>
      <w:numFmt w:val="decimal"/>
      <w:lvlText w:val="%1."/>
      <w:lvlJc w:val="left"/>
      <w:pPr>
        <w:ind w:left="720" w:hanging="360"/>
      </w:pPr>
      <w:rPr>
        <w:rFonts w:hint="default"/>
      </w:rPr>
    </w:lvl>
    <w:lvl w:ilvl="1" w:tplc="43265BE4" w:tentative="1">
      <w:start w:val="1"/>
      <w:numFmt w:val="lowerLetter"/>
      <w:lvlText w:val="%2."/>
      <w:lvlJc w:val="left"/>
      <w:pPr>
        <w:ind w:left="1440" w:hanging="360"/>
      </w:pPr>
    </w:lvl>
    <w:lvl w:ilvl="2" w:tplc="B5F89B86" w:tentative="1">
      <w:start w:val="1"/>
      <w:numFmt w:val="lowerRoman"/>
      <w:lvlText w:val="%3."/>
      <w:lvlJc w:val="right"/>
      <w:pPr>
        <w:ind w:left="2160" w:hanging="180"/>
      </w:pPr>
    </w:lvl>
    <w:lvl w:ilvl="3" w:tplc="E1BC7484" w:tentative="1">
      <w:start w:val="1"/>
      <w:numFmt w:val="decimal"/>
      <w:lvlText w:val="%4."/>
      <w:lvlJc w:val="left"/>
      <w:pPr>
        <w:ind w:left="2880" w:hanging="360"/>
      </w:pPr>
    </w:lvl>
    <w:lvl w:ilvl="4" w:tplc="5464173A" w:tentative="1">
      <w:start w:val="1"/>
      <w:numFmt w:val="lowerLetter"/>
      <w:lvlText w:val="%5."/>
      <w:lvlJc w:val="left"/>
      <w:pPr>
        <w:ind w:left="3600" w:hanging="360"/>
      </w:pPr>
    </w:lvl>
    <w:lvl w:ilvl="5" w:tplc="833033BA" w:tentative="1">
      <w:start w:val="1"/>
      <w:numFmt w:val="lowerRoman"/>
      <w:lvlText w:val="%6."/>
      <w:lvlJc w:val="right"/>
      <w:pPr>
        <w:ind w:left="4320" w:hanging="180"/>
      </w:pPr>
    </w:lvl>
    <w:lvl w:ilvl="6" w:tplc="BDE8230A" w:tentative="1">
      <w:start w:val="1"/>
      <w:numFmt w:val="decimal"/>
      <w:lvlText w:val="%7."/>
      <w:lvlJc w:val="left"/>
      <w:pPr>
        <w:ind w:left="5040" w:hanging="360"/>
      </w:pPr>
    </w:lvl>
    <w:lvl w:ilvl="7" w:tplc="AE7A2724" w:tentative="1">
      <w:start w:val="1"/>
      <w:numFmt w:val="lowerLetter"/>
      <w:lvlText w:val="%8."/>
      <w:lvlJc w:val="left"/>
      <w:pPr>
        <w:ind w:left="5760" w:hanging="360"/>
      </w:pPr>
    </w:lvl>
    <w:lvl w:ilvl="8" w:tplc="15522FA4" w:tentative="1">
      <w:start w:val="1"/>
      <w:numFmt w:val="lowerRoman"/>
      <w:lvlText w:val="%9."/>
      <w:lvlJc w:val="right"/>
      <w:pPr>
        <w:ind w:left="6480" w:hanging="180"/>
      </w:pPr>
    </w:lvl>
  </w:abstractNum>
  <w:abstractNum w:abstractNumId="2" w15:restartNumberingAfterBreak="0">
    <w:nsid w:val="46880A49"/>
    <w:multiLevelType w:val="multilevel"/>
    <w:tmpl w:val="1108D942"/>
    <w:lvl w:ilvl="0">
      <w:start w:val="1"/>
      <w:numFmt w:val="decimal"/>
      <w:lvlText w:val="%1."/>
      <w:lvlJc w:val="left"/>
      <w:pPr>
        <w:ind w:left="720" w:hanging="360"/>
      </w:pPr>
      <w:rPr>
        <w:rFonts w:hint="default"/>
      </w:rPr>
    </w:lvl>
    <w:lvl w:ilvl="1">
      <w:start w:val="6"/>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51D47DBF"/>
    <w:multiLevelType w:val="hybridMultilevel"/>
    <w:tmpl w:val="36AEFDC0"/>
    <w:lvl w:ilvl="0" w:tplc="F780A8F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D9591C"/>
    <w:multiLevelType w:val="multilevel"/>
    <w:tmpl w:val="4052D75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D1227D6"/>
    <w:multiLevelType w:val="multilevel"/>
    <w:tmpl w:val="068A24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D995296"/>
    <w:multiLevelType w:val="multilevel"/>
    <w:tmpl w:val="2D5EE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3578012">
    <w:abstractNumId w:val="3"/>
  </w:num>
  <w:num w:numId="2" w16cid:durableId="1401365729">
    <w:abstractNumId w:val="5"/>
  </w:num>
  <w:num w:numId="3" w16cid:durableId="918565309">
    <w:abstractNumId w:val="6"/>
  </w:num>
  <w:num w:numId="4" w16cid:durableId="1637948362">
    <w:abstractNumId w:val="1"/>
  </w:num>
  <w:num w:numId="5" w16cid:durableId="1930776530">
    <w:abstractNumId w:val="2"/>
  </w:num>
  <w:num w:numId="6" w16cid:durableId="1113136299">
    <w:abstractNumId w:val="0"/>
  </w:num>
  <w:num w:numId="7" w16cid:durableId="187649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VCPPs2nXlZfA/p1qBj99K2zLbDM2g5XeWgIzIIfDa6VCep0PFGbdaQFe/YMQG9de1wvzZqoTaPp9ibHzkncUsw==" w:salt="fHhjEe1nPhWigdfwnQYXV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57"/>
    <w:rsid w:val="000D28B9"/>
    <w:rsid w:val="00362485"/>
    <w:rsid w:val="00600A23"/>
    <w:rsid w:val="00C76D57"/>
    <w:rsid w:val="00D17702"/>
    <w:rsid w:val="00D91A46"/>
    <w:rsid w:val="00DF2E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98AE"/>
  <w15:chartTrackingRefBased/>
  <w15:docId w15:val="{7F20D819-D3BC-4A28-9C22-ADCFBF1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57"/>
    <w:pPr>
      <w:spacing w:after="0" w:line="360" w:lineRule="auto"/>
      <w:ind w:firstLine="720"/>
      <w:jc w:val="both"/>
    </w:pPr>
    <w:rPr>
      <w:rFonts w:ascii="Times New Roman" w:eastAsia="Times New Roman" w:hAnsi="Times New Roman" w:cs="Times New Roman"/>
      <w:noProof/>
      <w:kern w:val="0"/>
      <w:sz w:val="24"/>
      <w:szCs w:val="20"/>
      <w:lang w:val="id-ID"/>
      <w14:ligatures w14:val="none"/>
    </w:rPr>
  </w:style>
  <w:style w:type="paragraph" w:styleId="Heading1">
    <w:name w:val="heading 1"/>
    <w:basedOn w:val="Normal"/>
    <w:next w:val="Normal"/>
    <w:link w:val="Heading1Char"/>
    <w:uiPriority w:val="9"/>
    <w:qFormat/>
    <w:rsid w:val="00D91A46"/>
    <w:pPr>
      <w:keepNext/>
      <w:keepLines/>
      <w:spacing w:before="24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C76D57"/>
  </w:style>
  <w:style w:type="paragraph" w:styleId="ListParagraph">
    <w:name w:val="List Paragraph"/>
    <w:basedOn w:val="Normal"/>
    <w:uiPriority w:val="34"/>
    <w:qFormat/>
    <w:rsid w:val="00C76D57"/>
    <w:pPr>
      <w:ind w:left="720"/>
      <w:contextualSpacing/>
    </w:pPr>
  </w:style>
  <w:style w:type="table" w:styleId="TableGrid">
    <w:name w:val="Table Grid"/>
    <w:basedOn w:val="TableNormal"/>
    <w:uiPriority w:val="39"/>
    <w:rsid w:val="00C76D5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1A46"/>
    <w:rPr>
      <w:rFonts w:ascii="Times New Roman" w:eastAsiaTheme="majorEastAsia" w:hAnsi="Times New Roman" w:cstheme="majorBidi"/>
      <w:b/>
      <w:noProof/>
      <w:color w:val="000000" w:themeColor="text1"/>
      <w:kern w:val="0"/>
      <w:sz w:val="24"/>
      <w:szCs w:val="32"/>
      <w:lang w:val="id-ID"/>
      <w14:ligatures w14:val="none"/>
    </w:rPr>
  </w:style>
  <w:style w:type="paragraph" w:styleId="NoSpacing">
    <w:name w:val="No Spacing"/>
    <w:uiPriority w:val="1"/>
    <w:qFormat/>
    <w:rsid w:val="00D91A46"/>
    <w:pPr>
      <w:spacing w:after="0" w:line="240" w:lineRule="auto"/>
      <w:ind w:firstLine="720"/>
      <w:jc w:val="both"/>
    </w:pPr>
    <w:rPr>
      <w:rFonts w:ascii="Times New Roman" w:eastAsia="Times New Roman" w:hAnsi="Times New Roman" w:cs="Times New Roman"/>
      <w:noProof/>
      <w:kern w:val="0"/>
      <w:sz w:val="24"/>
      <w:szCs w:val="20"/>
      <w:lang w:val="id-ID"/>
      <w14:ligatures w14:val="none"/>
    </w:rPr>
  </w:style>
  <w:style w:type="paragraph" w:styleId="Header">
    <w:name w:val="header"/>
    <w:basedOn w:val="Normal"/>
    <w:link w:val="HeaderChar"/>
    <w:uiPriority w:val="99"/>
    <w:unhideWhenUsed/>
    <w:rsid w:val="00DF2E7A"/>
    <w:pPr>
      <w:tabs>
        <w:tab w:val="center" w:pos="4513"/>
        <w:tab w:val="right" w:pos="9026"/>
      </w:tabs>
      <w:spacing w:line="240" w:lineRule="auto"/>
    </w:pPr>
  </w:style>
  <w:style w:type="character" w:customStyle="1" w:styleId="HeaderChar">
    <w:name w:val="Header Char"/>
    <w:basedOn w:val="DefaultParagraphFont"/>
    <w:link w:val="Header"/>
    <w:uiPriority w:val="99"/>
    <w:rsid w:val="00DF2E7A"/>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DF2E7A"/>
    <w:pPr>
      <w:tabs>
        <w:tab w:val="center" w:pos="4513"/>
        <w:tab w:val="right" w:pos="9026"/>
      </w:tabs>
      <w:spacing w:line="240" w:lineRule="auto"/>
    </w:pPr>
  </w:style>
  <w:style w:type="character" w:customStyle="1" w:styleId="FooterChar">
    <w:name w:val="Footer Char"/>
    <w:basedOn w:val="DefaultParagraphFont"/>
    <w:link w:val="Footer"/>
    <w:uiPriority w:val="99"/>
    <w:rsid w:val="00DF2E7A"/>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5229</Words>
  <Characters>29807</Characters>
  <Application>Microsoft Office Word</Application>
  <DocSecurity>0</DocSecurity>
  <Lines>248</Lines>
  <Paragraphs>69</Paragraphs>
  <ScaleCrop>false</ScaleCrop>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2024-08-09T06:07:00Z</dcterms:created>
  <dcterms:modified xsi:type="dcterms:W3CDTF">2024-11-05T04:40:00Z</dcterms:modified>
</cp:coreProperties>
</file>