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AC19" w14:textId="77777777" w:rsidR="00A561CA" w:rsidRDefault="00A561CA" w:rsidP="00A561CA">
      <w:pPr>
        <w:pStyle w:val="Heading1"/>
        <w:numPr>
          <w:ilvl w:val="0"/>
          <w:numId w:val="0"/>
        </w:numPr>
        <w:spacing w:before="0" w:after="0" w:line="360" w:lineRule="auto"/>
        <w:rPr>
          <w:rFonts w:cs="Times New Roman"/>
          <w:szCs w:val="24"/>
          <w:lang w:val="id-ID"/>
        </w:rPr>
      </w:pPr>
      <w:bookmarkStart w:id="0" w:name="_Toc98006227"/>
      <w:r w:rsidRPr="009E4F04">
        <w:rPr>
          <w:rFonts w:cs="Times New Roman"/>
          <w:szCs w:val="24"/>
          <w:lang w:val="id-ID"/>
        </w:rPr>
        <w:t xml:space="preserve">BAB I </w:t>
      </w:r>
    </w:p>
    <w:p w14:paraId="347726FB" w14:textId="77777777" w:rsidR="00A561CA" w:rsidRPr="00154CC7" w:rsidRDefault="00A561CA" w:rsidP="00A561CA">
      <w:pPr>
        <w:pStyle w:val="Heading1"/>
        <w:numPr>
          <w:ilvl w:val="0"/>
          <w:numId w:val="0"/>
        </w:numPr>
        <w:spacing w:before="0" w:after="0" w:line="360" w:lineRule="auto"/>
        <w:rPr>
          <w:rFonts w:cs="Times New Roman"/>
          <w:szCs w:val="24"/>
        </w:rPr>
      </w:pPr>
      <w:r w:rsidRPr="009E4F04">
        <w:rPr>
          <w:rFonts w:cs="Times New Roman"/>
          <w:szCs w:val="24"/>
          <w:lang w:val="id-ID"/>
        </w:rPr>
        <w:t>PENDAHULUAN</w:t>
      </w:r>
      <w:bookmarkEnd w:id="0"/>
    </w:p>
    <w:p w14:paraId="5A1F343D" w14:textId="77777777" w:rsidR="00A561CA" w:rsidRPr="009E4F04" w:rsidRDefault="00A561CA" w:rsidP="00A561CA">
      <w:pPr>
        <w:pStyle w:val="Heading2"/>
        <w:spacing w:line="360" w:lineRule="auto"/>
        <w:rPr>
          <w:rFonts w:cs="Times New Roman"/>
          <w:szCs w:val="24"/>
        </w:rPr>
      </w:pPr>
      <w:bookmarkStart w:id="1" w:name="_Toc98006228"/>
      <w:proofErr w:type="spellStart"/>
      <w:r w:rsidRPr="009E4F04">
        <w:rPr>
          <w:rFonts w:cs="Times New Roman"/>
          <w:szCs w:val="24"/>
        </w:rPr>
        <w:t>Latar</w:t>
      </w:r>
      <w:proofErr w:type="spellEnd"/>
      <w:r w:rsidRPr="009E4F04">
        <w:rPr>
          <w:rFonts w:cs="Times New Roman"/>
          <w:szCs w:val="24"/>
        </w:rPr>
        <w:t xml:space="preserve"> </w:t>
      </w:r>
      <w:proofErr w:type="spellStart"/>
      <w:r w:rsidRPr="009E4F04">
        <w:rPr>
          <w:rFonts w:cs="Times New Roman"/>
          <w:szCs w:val="24"/>
        </w:rPr>
        <w:t>Belakang</w:t>
      </w:r>
      <w:bookmarkEnd w:id="1"/>
      <w:proofErr w:type="spellEnd"/>
    </w:p>
    <w:p w14:paraId="7A23E5D1" w14:textId="77777777" w:rsidR="00A561CA" w:rsidRDefault="00A561CA" w:rsidP="00A561CA">
      <w:pPr>
        <w:pStyle w:val="ListParagraph"/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4F0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digemparkan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9023E8">
        <w:rPr>
          <w:rFonts w:ascii="Times New Roman" w:hAnsi="Times New Roman" w:cs="Times New Roman"/>
          <w:i/>
          <w:sz w:val="24"/>
          <w:szCs w:val="24"/>
        </w:rPr>
        <w:t>Coronavirus Disease-19</w:t>
      </w:r>
      <w:r w:rsidRPr="009E4F04">
        <w:rPr>
          <w:rFonts w:ascii="Times New Roman" w:hAnsi="Times New Roman" w:cs="Times New Roman"/>
          <w:sz w:val="24"/>
          <w:szCs w:val="24"/>
        </w:rPr>
        <w:t xml:space="preserve"> (Covid-19)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Kota Wuhan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. Covid-19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virus </w:t>
      </w:r>
      <w:r w:rsidRPr="009023E8">
        <w:rPr>
          <w:rFonts w:ascii="Times New Roman" w:hAnsi="Times New Roman" w:cs="Times New Roman"/>
          <w:i/>
          <w:sz w:val="24"/>
          <w:szCs w:val="24"/>
        </w:rPr>
        <w:t>SARS-CoV-2</w:t>
      </w:r>
      <w:r w:rsidRPr="009E4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Coronavirus Disease-19 (Covid-19)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Wikipedia, Universitas Johns Hopkins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dunia total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246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4,98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F0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4,24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143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. Virus yang sangat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virus Covid-19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pilek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tenggorokan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sesak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Indonesia, 2021). Virus </w:t>
      </w:r>
      <w:r w:rsidRPr="009023E8">
        <w:rPr>
          <w:rFonts w:ascii="Times New Roman" w:hAnsi="Times New Roman" w:cs="Times New Roman"/>
          <w:i/>
          <w:sz w:val="24"/>
          <w:szCs w:val="24"/>
        </w:rPr>
        <w:t>SARS-CoV-2</w:t>
      </w:r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susah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ditebak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menula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0E7D61">
        <w:rPr>
          <w:rFonts w:ascii="Times New Roman" w:hAnsi="Times New Roman" w:cs="Times New Roman"/>
          <w:sz w:val="24"/>
          <w:szCs w:val="24"/>
        </w:rPr>
        <w:t xml:space="preserve">dan lain-lain.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>.</w:t>
      </w:r>
    </w:p>
    <w:p w14:paraId="4E348513" w14:textId="77777777" w:rsidR="00A561CA" w:rsidRDefault="00A561CA" w:rsidP="00A561C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  <w:sectPr w:rsidR="00A561CA" w:rsidSect="00E40D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08" w:footer="708" w:gutter="0"/>
          <w:pgNumType w:start="1"/>
          <w:cols w:space="708"/>
          <w:docGrid w:linePitch="360"/>
        </w:sectPr>
      </w:pP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Covid-19 pada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. Bank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bad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</w:p>
    <w:p w14:paraId="4FE2175F" w14:textId="77777777" w:rsidR="00A561CA" w:rsidRPr="000E7D61" w:rsidRDefault="00A561CA" w:rsidP="00A561CA">
      <w:pPr>
        <w:spacing w:line="360" w:lineRule="auto"/>
        <w:ind w:left="56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menyalurkannya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F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No.10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1998 </w:t>
      </w:r>
      <w:r w:rsidRPr="009E4F0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9E4F04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{"citationItems":[{"id":"ITEM-1","itemData":{"author":[{"dropping-particle":"","family":"NISP OCBC","given":"Redaksi","non-dropping-particle":"","parse-names":false,"suffix":""}],"id":"ITEM-1","issued":{"date-parts":[["2021"]]},"title":"Pengertian Bank, Jenis-jenis, dan Fungsinya Bagi Masyarakat","type":"article-newspaper"},"uris":["http://www.mendeley.com/documents/?uuid=cd965502-e1dd-4f3f-a73d-edf92344d9d9"]}],"mendeley":{"formattedCitation":"(NISP OCBC, 2021)","manualFormatting":"(dalam NISP OCBC, 2021)","plainTextFormattedCitation":"(NISP OCBC, 2021)","previouslyFormattedCitation":"(NISP OCBC, 2021)"},"properties":{"noteIndex":0},"schema":"https://github.com/citation-style-language/schema/raw/master/csl-citation.json"}</w:instrText>
      </w:r>
      <w:r w:rsidRPr="009E4F04">
        <w:rPr>
          <w:rFonts w:ascii="Times New Roman" w:hAnsi="Times New Roman" w:cs="Times New Roman"/>
          <w:sz w:val="24"/>
          <w:szCs w:val="24"/>
        </w:rPr>
        <w:fldChar w:fldCharType="separate"/>
      </w:r>
      <w:r w:rsidRPr="009E4F04">
        <w:rPr>
          <w:rFonts w:ascii="Times New Roman" w:hAnsi="Times New Roman" w:cs="Times New Roman"/>
          <w:noProof/>
          <w:sz w:val="24"/>
          <w:szCs w:val="24"/>
        </w:rPr>
        <w:t>(dalam NISP OCBC, 2021)</w:t>
      </w:r>
      <w:r w:rsidRPr="009E4F04">
        <w:rPr>
          <w:rFonts w:ascii="Times New Roman" w:hAnsi="Times New Roman" w:cs="Times New Roman"/>
          <w:sz w:val="24"/>
          <w:szCs w:val="24"/>
        </w:rPr>
        <w:fldChar w:fldCharType="end"/>
      </w:r>
      <w:r w:rsidRPr="009E4F0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dipercayai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menyetorkan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(dana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dipinjamkan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7D6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proofErr w:type="gram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investor,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bawahannya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manager,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6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E7D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A77FD0" w14:textId="77777777" w:rsidR="00A561CA" w:rsidRDefault="00A561CA" w:rsidP="00A561CA">
      <w:pPr>
        <w:pStyle w:val="ListParagraph"/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Peraturan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 No. 13/1/PBI/2011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penilaian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kesehatan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bank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umum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di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berlakukan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tingkat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kesehatan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bank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yaitu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diukur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metode</w:t>
      </w:r>
      <w:proofErr w:type="spellEnd"/>
      <w:r w:rsidRPr="009E4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CAMEL</w:t>
      </w:r>
      <w:r w:rsidRPr="009E4F04">
        <w:rPr>
          <w:rFonts w:ascii="Times New Roman" w:hAnsi="Times New Roman" w:cs="Times New Roman"/>
          <w:sz w:val="24"/>
          <w:szCs w:val="24"/>
        </w:rPr>
        <w:t xml:space="preserve">. (www.bi.go.id). CAMEL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A81776">
        <w:rPr>
          <w:rFonts w:ascii="Times New Roman" w:hAnsi="Times New Roman" w:cs="Times New Roman"/>
          <w:i/>
          <w:sz w:val="24"/>
          <w:szCs w:val="24"/>
        </w:rPr>
        <w:t>capital</w:t>
      </w:r>
      <w:r w:rsidRPr="009E4F04">
        <w:rPr>
          <w:rFonts w:ascii="Times New Roman" w:hAnsi="Times New Roman" w:cs="Times New Roman"/>
          <w:sz w:val="24"/>
          <w:szCs w:val="24"/>
        </w:rPr>
        <w:t xml:space="preserve"> (modal), </w:t>
      </w:r>
      <w:r w:rsidRPr="00A81776">
        <w:rPr>
          <w:rFonts w:ascii="Times New Roman" w:hAnsi="Times New Roman" w:cs="Times New Roman"/>
          <w:i/>
          <w:sz w:val="24"/>
          <w:szCs w:val="24"/>
        </w:rPr>
        <w:t>asset quality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), </w:t>
      </w:r>
      <w:r w:rsidRPr="00A81776">
        <w:rPr>
          <w:rFonts w:ascii="Times New Roman" w:hAnsi="Times New Roman" w:cs="Times New Roman"/>
          <w:i/>
          <w:sz w:val="24"/>
          <w:szCs w:val="24"/>
        </w:rPr>
        <w:t>management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), </w:t>
      </w:r>
      <w:r w:rsidRPr="00A81776">
        <w:rPr>
          <w:rFonts w:ascii="Times New Roman" w:hAnsi="Times New Roman" w:cs="Times New Roman"/>
          <w:i/>
          <w:sz w:val="24"/>
          <w:szCs w:val="24"/>
        </w:rPr>
        <w:t>earning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), dan </w:t>
      </w:r>
      <w:r w:rsidRPr="00A81776">
        <w:rPr>
          <w:rFonts w:ascii="Times New Roman" w:hAnsi="Times New Roman" w:cs="Times New Roman"/>
          <w:i/>
          <w:sz w:val="24"/>
          <w:szCs w:val="24"/>
        </w:rPr>
        <w:t>liquidity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>).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Trindaru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et al, 2006: 53).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rasio-rasio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audit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. David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Sutyanto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9E4F04">
        <w:rPr>
          <w:rFonts w:ascii="Times New Roman" w:hAnsi="Times New Roman" w:cs="Times New Roman"/>
          <w:i/>
          <w:sz w:val="24"/>
          <w:szCs w:val="24"/>
        </w:rPr>
        <w:t xml:space="preserve">Head of Research </w:t>
      </w:r>
      <w:proofErr w:type="spellStart"/>
      <w:r w:rsidRPr="009E4F04">
        <w:rPr>
          <w:rFonts w:ascii="Times New Roman" w:hAnsi="Times New Roman" w:cs="Times New Roman"/>
          <w:i/>
          <w:sz w:val="24"/>
          <w:szCs w:val="24"/>
        </w:rPr>
        <w:t>Ekuator</w:t>
      </w:r>
      <w:proofErr w:type="spellEnd"/>
      <w:r w:rsidRPr="009E4F04">
        <w:rPr>
          <w:rFonts w:ascii="Times New Roman" w:hAnsi="Times New Roman" w:cs="Times New Roman"/>
          <w:i/>
          <w:sz w:val="24"/>
          <w:szCs w:val="24"/>
        </w:rPr>
        <w:t xml:space="preserve"> Swarna </w:t>
      </w:r>
      <w:proofErr w:type="spellStart"/>
      <w:r w:rsidRPr="009E4F04">
        <w:rPr>
          <w:rFonts w:ascii="Times New Roman" w:hAnsi="Times New Roman" w:cs="Times New Roman"/>
          <w:i/>
          <w:sz w:val="24"/>
          <w:szCs w:val="24"/>
        </w:rPr>
        <w:t>Sekuritas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resktrukturisasi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melimpahnya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Samuel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Sekuritas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Suria Dharma,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emiten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pertahun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4B3B75">
        <w:rPr>
          <w:rFonts w:ascii="Times New Roman" w:hAnsi="Times New Roman" w:cs="Times New Roman"/>
          <w:i/>
          <w:sz w:val="24"/>
          <w:szCs w:val="24"/>
        </w:rPr>
        <w:t>Perfoming</w:t>
      </w:r>
      <w:proofErr w:type="spellEnd"/>
      <w:r w:rsidRPr="004B3B75">
        <w:rPr>
          <w:rFonts w:ascii="Times New Roman" w:hAnsi="Times New Roman" w:cs="Times New Roman"/>
          <w:i/>
          <w:sz w:val="24"/>
          <w:szCs w:val="24"/>
        </w:rPr>
        <w:t xml:space="preserve"> Loan</w:t>
      </w:r>
      <w:r w:rsidRPr="009E4F04">
        <w:rPr>
          <w:rFonts w:ascii="Times New Roman" w:hAnsi="Times New Roman" w:cs="Times New Roman"/>
          <w:sz w:val="24"/>
          <w:szCs w:val="24"/>
        </w:rPr>
        <w:t xml:space="preserve"> (NPL). Cara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Menteri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Mulyani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Indrawati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(PMK) </w:t>
      </w:r>
      <w:r w:rsidRPr="00446DFA">
        <w:rPr>
          <w:rFonts w:ascii="Times New Roman" w:hAnsi="Times New Roman" w:cs="Times New Roman"/>
          <w:sz w:val="24"/>
          <w:szCs w:val="24"/>
        </w:rPr>
        <w:t xml:space="preserve">No. 70/PMK.05/2020 </w:t>
      </w:r>
      <w:proofErr w:type="spellStart"/>
      <w:r w:rsidRPr="00446DFA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446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F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46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F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46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FA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446DFA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6D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6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FA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446DFA">
        <w:rPr>
          <w:rFonts w:ascii="Times New Roman" w:hAnsi="Times New Roman" w:cs="Times New Roman"/>
          <w:sz w:val="24"/>
          <w:szCs w:val="24"/>
        </w:rPr>
        <w:t xml:space="preserve"> dana negara di bank </w:t>
      </w:r>
      <w:proofErr w:type="spellStart"/>
      <w:r w:rsidRPr="00446DF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46DFA">
        <w:rPr>
          <w:rFonts w:ascii="Times New Roman" w:hAnsi="Times New Roman" w:cs="Times New Roman"/>
          <w:sz w:val="24"/>
          <w:szCs w:val="24"/>
        </w:rPr>
        <w:t xml:space="preserve"> </w:t>
      </w:r>
      <w:r w:rsidRPr="00446DF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446DFA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{"citationItems":[{"id":"ITEM-1","itemData":{"author":[{"dropping-particle":"","family":"Suryahadi","given":"Akhmad","non-dropping-particle":"","parse-names":false,"suffix":""}],"container-title":"Kontan.co.id","id":"ITEM-1","issued":{"date-parts":[["2020"]]},"title":"Selain kredit macet, ini tantangan yang dihadapi emiten perbankan ke depan","type":"webpage"},"uris":["http://www.mendeley.com/documents/?uuid=28ad0bb9-f534-4d91-ad95-e7c407e29073"]}],"mendeley":{"formattedCitation":"(Suryahadi, 2020)","plainTextFormattedCitation":"(Suryahadi, 2020)","previouslyFormattedCitation":"(Suryahadi, 2020)"},"properties":{"noteIndex":0},"schema":"https://github.com/citation-style-language/schema/raw/master/csl-citation.json"}</w:instrText>
      </w:r>
      <w:r w:rsidRPr="00446DFA">
        <w:rPr>
          <w:rFonts w:ascii="Times New Roman" w:hAnsi="Times New Roman" w:cs="Times New Roman"/>
          <w:sz w:val="24"/>
          <w:szCs w:val="24"/>
        </w:rPr>
        <w:fldChar w:fldCharType="separate"/>
      </w:r>
      <w:r w:rsidRPr="00446DFA">
        <w:rPr>
          <w:rFonts w:ascii="Times New Roman" w:hAnsi="Times New Roman" w:cs="Times New Roman"/>
          <w:noProof/>
          <w:sz w:val="24"/>
          <w:szCs w:val="24"/>
        </w:rPr>
        <w:t>(Suryahadi, 2020)</w:t>
      </w:r>
      <w:r w:rsidRPr="00446DFA">
        <w:rPr>
          <w:rFonts w:ascii="Times New Roman" w:hAnsi="Times New Roman" w:cs="Times New Roman"/>
          <w:sz w:val="24"/>
          <w:szCs w:val="24"/>
        </w:rPr>
        <w:fldChar w:fldCharType="end"/>
      </w:r>
      <w:r w:rsidRPr="00446DFA">
        <w:rPr>
          <w:rFonts w:ascii="Times New Roman" w:hAnsi="Times New Roman" w:cs="Times New Roman"/>
          <w:sz w:val="24"/>
          <w:szCs w:val="24"/>
        </w:rPr>
        <w:t>.</w:t>
      </w:r>
    </w:p>
    <w:p w14:paraId="47DF2268" w14:textId="77777777" w:rsidR="00A561CA" w:rsidRDefault="00A561CA" w:rsidP="00A561CA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637D36F" w14:textId="77777777" w:rsidR="00A561CA" w:rsidRPr="00446DFA" w:rsidRDefault="00A561CA" w:rsidP="00A561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E4F04">
        <w:rPr>
          <w:noProof/>
        </w:rPr>
        <w:lastRenderedPageBreak/>
        <w:drawing>
          <wp:inline distT="0" distB="0" distL="0" distR="0" wp14:anchorId="4381139C" wp14:editId="49DA13E0">
            <wp:extent cx="4166886" cy="2488556"/>
            <wp:effectExtent l="0" t="0" r="24130" b="266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B7397E" w14:textId="77777777" w:rsidR="00A561CA" w:rsidRPr="00446DFA" w:rsidRDefault="00A561CA" w:rsidP="00A561CA">
      <w:pPr>
        <w:pStyle w:val="Caption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93033004"/>
      <w:r w:rsidRPr="009E4F04">
        <w:rPr>
          <w:rFonts w:ascii="Times New Roman" w:hAnsi="Times New Roman" w:cs="Times New Roman"/>
          <w:color w:val="auto"/>
          <w:sz w:val="24"/>
          <w:szCs w:val="24"/>
        </w:rPr>
        <w:t xml:space="preserve">Gambar 1. </w:t>
      </w:r>
      <w:r w:rsidRPr="009E4F04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9E4F04">
        <w:rPr>
          <w:rFonts w:ascii="Times New Roman" w:hAnsi="Times New Roman" w:cs="Times New Roman"/>
          <w:color w:val="auto"/>
          <w:sz w:val="24"/>
          <w:szCs w:val="24"/>
        </w:rPr>
        <w:instrText xml:space="preserve"> SEQ Gambar_1. \* ARABIC </w:instrText>
      </w:r>
      <w:r w:rsidRPr="009E4F04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9E4F04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9E4F04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Laba Perbankan 2019&amp;2020</w:t>
      </w:r>
      <w:bookmarkEnd w:id="2"/>
    </w:p>
    <w:p w14:paraId="2E256D64" w14:textId="77777777" w:rsidR="00A561CA" w:rsidRPr="009E4F04" w:rsidRDefault="00A561CA" w:rsidP="00A561C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7A3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B7A32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9B7A32">
        <w:rPr>
          <w:rFonts w:ascii="Times New Roman" w:hAnsi="Times New Roman" w:cs="Times New Roman"/>
          <w:i/>
          <w:sz w:val="24"/>
          <w:szCs w:val="24"/>
        </w:rPr>
        <w:t xml:space="preserve">: data </w:t>
      </w:r>
      <w:proofErr w:type="spellStart"/>
      <w:r w:rsidRPr="009B7A32">
        <w:rPr>
          <w:rFonts w:ascii="Times New Roman" w:hAnsi="Times New Roman" w:cs="Times New Roman"/>
          <w:i/>
          <w:sz w:val="24"/>
          <w:szCs w:val="24"/>
        </w:rPr>
        <w:t>diolah</w:t>
      </w:r>
      <w:proofErr w:type="spellEnd"/>
      <w:r w:rsidRPr="009B7A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7A32">
        <w:rPr>
          <w:rFonts w:ascii="Times New Roman" w:hAnsi="Times New Roman" w:cs="Times New Roman"/>
          <w:i/>
          <w:sz w:val="24"/>
          <w:szCs w:val="24"/>
        </w:rPr>
        <w:t>peneliti</w:t>
      </w:r>
      <w:proofErr w:type="spellEnd"/>
      <w:r w:rsidRPr="009B7A32">
        <w:rPr>
          <w:rFonts w:ascii="Times New Roman" w:hAnsi="Times New Roman" w:cs="Times New Roman"/>
          <w:i/>
          <w:sz w:val="24"/>
          <w:szCs w:val="24"/>
        </w:rPr>
        <w:t>, pada 2021)</w:t>
      </w:r>
    </w:p>
    <w:p w14:paraId="6CE26E44" w14:textId="77777777" w:rsidR="00A561CA" w:rsidRPr="009E4F04" w:rsidRDefault="00A561CA" w:rsidP="00A561CA">
      <w:pPr>
        <w:pStyle w:val="ListParagraph"/>
        <w:spacing w:after="0" w:line="360" w:lineRule="auto"/>
        <w:ind w:lef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E4F04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Bank Amar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(AMAR), Bank Central Asia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(BBCA), Bank Negara Indonesia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(BBNI), Bank Rakyat Indonesia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(BBRI), Bank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Danamon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(BDMN), Bank CIMB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Niaga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), Bank Maybank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(BNII), Bank OCBC NISP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AD17D8" w14:textId="77777777" w:rsidR="00A561CA" w:rsidRPr="009E4F04" w:rsidRDefault="00A561CA" w:rsidP="00A561CA">
      <w:pPr>
        <w:pStyle w:val="ListParagraph"/>
        <w:spacing w:after="0" w:line="360" w:lineRule="auto"/>
        <w:ind w:lef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 pada sub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</w:t>
      </w:r>
      <w:r>
        <w:rPr>
          <w:rFonts w:ascii="Times New Roman" w:hAnsi="Times New Roman" w:cs="Times New Roman"/>
          <w:sz w:val="24"/>
          <w:szCs w:val="24"/>
        </w:rPr>
        <w:t xml:space="preserve">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9E4F04">
        <w:rPr>
          <w:rFonts w:ascii="Times New Roman" w:hAnsi="Times New Roman" w:cs="Times New Roman"/>
          <w:sz w:val="24"/>
          <w:szCs w:val="24"/>
        </w:rPr>
        <w:t xml:space="preserve">-2020.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berkeinginan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CAMEL.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9E4F04">
        <w:rPr>
          <w:rFonts w:ascii="Times New Roman" w:hAnsi="Times New Roman" w:cs="Times New Roman"/>
          <w:b/>
          <w:sz w:val="24"/>
          <w:szCs w:val="24"/>
        </w:rPr>
        <w:t xml:space="preserve">“Analisa </w:t>
      </w:r>
      <w:proofErr w:type="spellStart"/>
      <w:r w:rsidRPr="009E4F04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b/>
          <w:sz w:val="24"/>
          <w:szCs w:val="24"/>
        </w:rPr>
        <w:t xml:space="preserve"> Kinerja </w:t>
      </w:r>
      <w:proofErr w:type="spellStart"/>
      <w:r w:rsidRPr="009E4F04"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b/>
          <w:sz w:val="24"/>
          <w:szCs w:val="24"/>
        </w:rPr>
        <w:t xml:space="preserve"> Bank </w:t>
      </w:r>
      <w:proofErr w:type="spellStart"/>
      <w:r w:rsidRPr="009E4F04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b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b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b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b/>
          <w:sz w:val="24"/>
          <w:szCs w:val="24"/>
        </w:rPr>
        <w:t xml:space="preserve"> Covid-19 </w:t>
      </w:r>
      <w:proofErr w:type="spellStart"/>
      <w:r w:rsidRPr="009E4F04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9E4F04">
        <w:rPr>
          <w:rFonts w:ascii="Times New Roman" w:hAnsi="Times New Roman" w:cs="Times New Roman"/>
          <w:b/>
          <w:sz w:val="24"/>
          <w:szCs w:val="24"/>
        </w:rPr>
        <w:t xml:space="preserve"> CAMEL”.</w:t>
      </w:r>
    </w:p>
    <w:p w14:paraId="1C789E1A" w14:textId="77777777" w:rsidR="00A561CA" w:rsidRPr="009E4F04" w:rsidRDefault="00A561CA" w:rsidP="00A561CA">
      <w:pPr>
        <w:pStyle w:val="ListParagraph"/>
        <w:spacing w:after="0" w:line="36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5FCBF" w14:textId="77777777" w:rsidR="00A561CA" w:rsidRPr="009E4F04" w:rsidRDefault="00A561CA" w:rsidP="00A561CA">
      <w:pPr>
        <w:pStyle w:val="Heading2"/>
        <w:spacing w:before="0" w:line="360" w:lineRule="auto"/>
        <w:rPr>
          <w:rFonts w:cs="Times New Roman"/>
          <w:szCs w:val="24"/>
        </w:rPr>
      </w:pPr>
      <w:bookmarkStart w:id="3" w:name="_Toc98006229"/>
      <w:proofErr w:type="spellStart"/>
      <w:r w:rsidRPr="009E4F04">
        <w:rPr>
          <w:rFonts w:cs="Times New Roman"/>
          <w:szCs w:val="24"/>
        </w:rPr>
        <w:lastRenderedPageBreak/>
        <w:t>Pembatasan</w:t>
      </w:r>
      <w:proofErr w:type="spellEnd"/>
      <w:r w:rsidRPr="009E4F04">
        <w:rPr>
          <w:rFonts w:cs="Times New Roman"/>
          <w:szCs w:val="24"/>
        </w:rPr>
        <w:t xml:space="preserve"> </w:t>
      </w:r>
      <w:proofErr w:type="spellStart"/>
      <w:r w:rsidRPr="009E4F04">
        <w:rPr>
          <w:rFonts w:cs="Times New Roman"/>
          <w:szCs w:val="24"/>
        </w:rPr>
        <w:t>Masalah</w:t>
      </w:r>
      <w:bookmarkEnd w:id="3"/>
      <w:proofErr w:type="spellEnd"/>
    </w:p>
    <w:p w14:paraId="2FCE1928" w14:textId="77777777" w:rsidR="00A561CA" w:rsidRPr="009E4F04" w:rsidRDefault="00A561CA" w:rsidP="00A561CA">
      <w:pPr>
        <w:pStyle w:val="ListParagraph"/>
        <w:spacing w:after="0" w:line="360" w:lineRule="auto"/>
        <w:ind w:lef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F04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A7F158" w14:textId="77777777" w:rsidR="00A561CA" w:rsidRPr="009E4F04" w:rsidRDefault="00A561CA" w:rsidP="00A561CA">
      <w:pPr>
        <w:pStyle w:val="ListParagraph"/>
        <w:numPr>
          <w:ilvl w:val="3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15E28055" w14:textId="77777777" w:rsidR="00A561CA" w:rsidRPr="009E4F04" w:rsidRDefault="00A561CA" w:rsidP="00A561CA">
      <w:pPr>
        <w:pStyle w:val="ListParagraph"/>
        <w:numPr>
          <w:ilvl w:val="3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komparatif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D61FBAC" w14:textId="77777777" w:rsidR="00A561CA" w:rsidRPr="009E4F04" w:rsidRDefault="00A561CA" w:rsidP="00A561CA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300B134" w14:textId="77777777" w:rsidR="00A561CA" w:rsidRPr="009E4F04" w:rsidRDefault="00A561CA" w:rsidP="00A561CA">
      <w:pPr>
        <w:pStyle w:val="Heading2"/>
        <w:spacing w:before="0" w:line="360" w:lineRule="auto"/>
        <w:rPr>
          <w:rFonts w:cs="Times New Roman"/>
          <w:szCs w:val="24"/>
        </w:rPr>
      </w:pPr>
      <w:bookmarkStart w:id="4" w:name="_Toc98006230"/>
      <w:proofErr w:type="spellStart"/>
      <w:r w:rsidRPr="009E4F04">
        <w:rPr>
          <w:rFonts w:cs="Times New Roman"/>
          <w:szCs w:val="24"/>
        </w:rPr>
        <w:t>Rumusan</w:t>
      </w:r>
      <w:proofErr w:type="spellEnd"/>
      <w:r w:rsidRPr="009E4F04">
        <w:rPr>
          <w:rFonts w:cs="Times New Roman"/>
          <w:szCs w:val="24"/>
        </w:rPr>
        <w:t xml:space="preserve"> </w:t>
      </w:r>
      <w:proofErr w:type="spellStart"/>
      <w:r w:rsidRPr="009E4F04">
        <w:rPr>
          <w:rFonts w:cs="Times New Roman"/>
          <w:szCs w:val="24"/>
        </w:rPr>
        <w:t>Masalah</w:t>
      </w:r>
      <w:bookmarkEnd w:id="4"/>
      <w:proofErr w:type="spellEnd"/>
    </w:p>
    <w:p w14:paraId="6C9AE8D0" w14:textId="77777777" w:rsidR="00A561CA" w:rsidRPr="009E4F04" w:rsidRDefault="00A561CA" w:rsidP="00A561CA">
      <w:pPr>
        <w:pStyle w:val="ListParagraph"/>
        <w:spacing w:after="0" w:line="360" w:lineRule="auto"/>
        <w:ind w:left="567" w:firstLine="7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>:</w:t>
      </w:r>
    </w:p>
    <w:p w14:paraId="0DE25400" w14:textId="77777777" w:rsidR="00A561CA" w:rsidRPr="009E4F04" w:rsidRDefault="00A561CA" w:rsidP="00A561CA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Capital</w:t>
      </w:r>
      <w:r w:rsidRPr="009E4F04">
        <w:rPr>
          <w:rFonts w:ascii="Times New Roman" w:hAnsi="Times New Roman" w:cs="Times New Roman"/>
          <w:sz w:val="24"/>
          <w:szCs w:val="24"/>
        </w:rPr>
        <w:t xml:space="preserve"> (Modal)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Current Adequacy Ratio</w:t>
      </w:r>
      <w:r>
        <w:rPr>
          <w:rFonts w:ascii="Times New Roman" w:hAnsi="Times New Roman" w:cs="Times New Roman"/>
          <w:sz w:val="24"/>
          <w:szCs w:val="24"/>
        </w:rPr>
        <w:t xml:space="preserve"> (CAR)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pandemic </w:t>
      </w:r>
      <w:r w:rsidRPr="009E4F04">
        <w:rPr>
          <w:rFonts w:ascii="Times New Roman" w:hAnsi="Times New Roman" w:cs="Times New Roman"/>
          <w:sz w:val="24"/>
          <w:szCs w:val="24"/>
        </w:rPr>
        <w:t>Covid-19.</w:t>
      </w:r>
    </w:p>
    <w:p w14:paraId="3EBD2EC9" w14:textId="77777777" w:rsidR="00A561CA" w:rsidRPr="009E4F04" w:rsidRDefault="00A561CA" w:rsidP="00A561CA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Asset Quality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4B3B75">
        <w:rPr>
          <w:rFonts w:ascii="Times New Roman" w:hAnsi="Times New Roman" w:cs="Times New Roman"/>
          <w:i/>
          <w:sz w:val="24"/>
          <w:szCs w:val="24"/>
        </w:rPr>
        <w:t>Perfoming</w:t>
      </w:r>
      <w:proofErr w:type="spellEnd"/>
      <w:r w:rsidRPr="004B3B75">
        <w:rPr>
          <w:rFonts w:ascii="Times New Roman" w:hAnsi="Times New Roman" w:cs="Times New Roman"/>
          <w:i/>
          <w:sz w:val="24"/>
          <w:szCs w:val="24"/>
        </w:rPr>
        <w:t xml:space="preserve"> Loan</w:t>
      </w:r>
      <w:r w:rsidRPr="009E4F04">
        <w:rPr>
          <w:rFonts w:ascii="Times New Roman" w:hAnsi="Times New Roman" w:cs="Times New Roman"/>
          <w:sz w:val="24"/>
          <w:szCs w:val="24"/>
        </w:rPr>
        <w:t xml:space="preserve"> (NPL)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pandemic </w:t>
      </w:r>
      <w:r w:rsidRPr="009E4F04">
        <w:rPr>
          <w:rFonts w:ascii="Times New Roman" w:hAnsi="Times New Roman" w:cs="Times New Roman"/>
          <w:sz w:val="24"/>
          <w:szCs w:val="24"/>
        </w:rPr>
        <w:t>Covid-19.</w:t>
      </w:r>
    </w:p>
    <w:p w14:paraId="7AB8A3FE" w14:textId="77777777" w:rsidR="00A561CA" w:rsidRPr="009E4F04" w:rsidRDefault="00A561CA" w:rsidP="00A561CA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Management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 xml:space="preserve">Net Profit Margin </w:t>
      </w:r>
      <w:r w:rsidRPr="009E4F04">
        <w:rPr>
          <w:rFonts w:ascii="Times New Roman" w:hAnsi="Times New Roman" w:cs="Times New Roman"/>
          <w:sz w:val="24"/>
          <w:szCs w:val="24"/>
        </w:rPr>
        <w:t xml:space="preserve">(NPM)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18783259" w14:textId="77777777" w:rsidR="00A561CA" w:rsidRPr="009E4F04" w:rsidRDefault="00A561CA" w:rsidP="00A561CA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Earning </w:t>
      </w:r>
      <w:r w:rsidRPr="009E4F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Return on Asset</w:t>
      </w:r>
      <w:r w:rsidRPr="009E4F04">
        <w:rPr>
          <w:rFonts w:ascii="Times New Roman" w:hAnsi="Times New Roman" w:cs="Times New Roman"/>
          <w:sz w:val="24"/>
          <w:szCs w:val="24"/>
        </w:rPr>
        <w:t xml:space="preserve"> (ROA)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56304989" w14:textId="77777777" w:rsidR="00A561CA" w:rsidRPr="009E4F04" w:rsidRDefault="00A561CA" w:rsidP="00A561CA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F0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lastRenderedPageBreak/>
        <w:t>Liquidity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Loan Deposit Ratio</w:t>
      </w:r>
      <w:r w:rsidRPr="009E4F04">
        <w:rPr>
          <w:rFonts w:ascii="Times New Roman" w:hAnsi="Times New Roman" w:cs="Times New Roman"/>
          <w:sz w:val="24"/>
          <w:szCs w:val="24"/>
        </w:rPr>
        <w:t xml:space="preserve"> (LDR)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1581F85F" w14:textId="77777777" w:rsidR="00A561CA" w:rsidRPr="009E4F04" w:rsidRDefault="00A561CA" w:rsidP="00A561CA">
      <w:pPr>
        <w:pStyle w:val="ListParagraph"/>
        <w:spacing w:after="0" w:line="36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201B2" w14:textId="77777777" w:rsidR="00A561CA" w:rsidRPr="009E4F04" w:rsidRDefault="00A561CA" w:rsidP="00A561CA">
      <w:pPr>
        <w:pStyle w:val="Heading2"/>
        <w:spacing w:before="0" w:line="360" w:lineRule="auto"/>
        <w:rPr>
          <w:rFonts w:cs="Times New Roman"/>
          <w:szCs w:val="24"/>
        </w:rPr>
      </w:pPr>
      <w:bookmarkStart w:id="5" w:name="_Toc98006231"/>
      <w:proofErr w:type="spellStart"/>
      <w:r w:rsidRPr="009E4F04">
        <w:rPr>
          <w:rFonts w:cs="Times New Roman"/>
          <w:szCs w:val="24"/>
        </w:rPr>
        <w:t>Tujuan</w:t>
      </w:r>
      <w:proofErr w:type="spellEnd"/>
      <w:r w:rsidRPr="009E4F04">
        <w:rPr>
          <w:rFonts w:cs="Times New Roman"/>
          <w:szCs w:val="24"/>
        </w:rPr>
        <w:t xml:space="preserve"> </w:t>
      </w:r>
      <w:proofErr w:type="spellStart"/>
      <w:r w:rsidRPr="009E4F04">
        <w:rPr>
          <w:rFonts w:cs="Times New Roman"/>
          <w:szCs w:val="24"/>
        </w:rPr>
        <w:t>Penelitian</w:t>
      </w:r>
      <w:bookmarkEnd w:id="5"/>
      <w:proofErr w:type="spellEnd"/>
    </w:p>
    <w:p w14:paraId="51A7D172" w14:textId="77777777" w:rsidR="00A561CA" w:rsidRPr="009E4F04" w:rsidRDefault="00A561CA" w:rsidP="00A561CA">
      <w:pPr>
        <w:pStyle w:val="ListParagraph"/>
        <w:spacing w:after="0" w:line="360" w:lineRule="auto"/>
        <w:ind w:left="567" w:firstLine="7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>:</w:t>
      </w:r>
    </w:p>
    <w:p w14:paraId="2E1ADCB4" w14:textId="77777777" w:rsidR="00A561CA" w:rsidRPr="009E4F04" w:rsidRDefault="00A561CA" w:rsidP="00A561CA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Capital</w:t>
      </w:r>
      <w:r w:rsidRPr="009E4F04">
        <w:rPr>
          <w:rFonts w:ascii="Times New Roman" w:hAnsi="Times New Roman" w:cs="Times New Roman"/>
          <w:sz w:val="24"/>
          <w:szCs w:val="24"/>
        </w:rPr>
        <w:t xml:space="preserve"> (Modal)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Current Adequacy Ratio</w:t>
      </w:r>
      <w:r>
        <w:rPr>
          <w:rFonts w:ascii="Times New Roman" w:hAnsi="Times New Roman" w:cs="Times New Roman"/>
          <w:sz w:val="24"/>
          <w:szCs w:val="24"/>
        </w:rPr>
        <w:t xml:space="preserve"> (CAR)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pandemic </w:t>
      </w:r>
      <w:r w:rsidRPr="009E4F04">
        <w:rPr>
          <w:rFonts w:ascii="Times New Roman" w:hAnsi="Times New Roman" w:cs="Times New Roman"/>
          <w:sz w:val="24"/>
          <w:szCs w:val="24"/>
        </w:rPr>
        <w:t>Covid-19.</w:t>
      </w:r>
    </w:p>
    <w:p w14:paraId="5791BA82" w14:textId="77777777" w:rsidR="00A561CA" w:rsidRPr="009E4F04" w:rsidRDefault="00A561CA" w:rsidP="00A561CA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F0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Asset Quality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4B3B75">
        <w:rPr>
          <w:rFonts w:ascii="Times New Roman" w:hAnsi="Times New Roman" w:cs="Times New Roman"/>
          <w:i/>
          <w:sz w:val="24"/>
          <w:szCs w:val="24"/>
        </w:rPr>
        <w:t>Perfoming</w:t>
      </w:r>
      <w:proofErr w:type="spellEnd"/>
      <w:r w:rsidRPr="004B3B75">
        <w:rPr>
          <w:rFonts w:ascii="Times New Roman" w:hAnsi="Times New Roman" w:cs="Times New Roman"/>
          <w:i/>
          <w:sz w:val="24"/>
          <w:szCs w:val="24"/>
        </w:rPr>
        <w:t xml:space="preserve"> Loan</w:t>
      </w:r>
      <w:r w:rsidRPr="009E4F04">
        <w:rPr>
          <w:rFonts w:ascii="Times New Roman" w:hAnsi="Times New Roman" w:cs="Times New Roman"/>
          <w:sz w:val="24"/>
          <w:szCs w:val="24"/>
        </w:rPr>
        <w:t xml:space="preserve"> (NPL)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0CACF442" w14:textId="77777777" w:rsidR="00A561CA" w:rsidRPr="009E4F04" w:rsidRDefault="00A561CA" w:rsidP="00A561CA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Management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Net Profit Margin</w:t>
      </w:r>
      <w:r w:rsidRPr="009E4F04">
        <w:rPr>
          <w:rFonts w:ascii="Times New Roman" w:hAnsi="Times New Roman" w:cs="Times New Roman"/>
          <w:sz w:val="24"/>
          <w:szCs w:val="24"/>
        </w:rPr>
        <w:t xml:space="preserve"> (NPM)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62233216" w14:textId="77777777" w:rsidR="00A561CA" w:rsidRPr="009E4F04" w:rsidRDefault="00A561CA" w:rsidP="00A561CA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Earning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Return on Asset</w:t>
      </w:r>
      <w:r w:rsidRPr="009E4F04">
        <w:rPr>
          <w:rFonts w:ascii="Times New Roman" w:hAnsi="Times New Roman" w:cs="Times New Roman"/>
          <w:sz w:val="24"/>
          <w:szCs w:val="24"/>
        </w:rPr>
        <w:t xml:space="preserve"> (ROA)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7B4552FA" w14:textId="77777777" w:rsidR="00A561CA" w:rsidRPr="009E4F04" w:rsidRDefault="00A561CA" w:rsidP="00A561CA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Liquidity</w:t>
      </w:r>
      <w:r w:rsidRPr="009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r w:rsidRPr="004B3B75">
        <w:rPr>
          <w:rFonts w:ascii="Times New Roman" w:hAnsi="Times New Roman" w:cs="Times New Roman"/>
          <w:i/>
          <w:sz w:val="24"/>
          <w:szCs w:val="24"/>
        </w:rPr>
        <w:t>Loan Deposit Ratio</w:t>
      </w:r>
      <w:r w:rsidRPr="009E4F04">
        <w:rPr>
          <w:rFonts w:ascii="Times New Roman" w:hAnsi="Times New Roman" w:cs="Times New Roman"/>
          <w:sz w:val="24"/>
          <w:szCs w:val="24"/>
        </w:rPr>
        <w:t xml:space="preserve"> (LDR)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2D8D2A9F" w14:textId="77777777" w:rsidR="00A561CA" w:rsidRPr="009E4F04" w:rsidRDefault="00A561CA" w:rsidP="00A561CA">
      <w:pPr>
        <w:pStyle w:val="ListParagraph"/>
        <w:spacing w:after="0" w:line="36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8DB86" w14:textId="77777777" w:rsidR="00A561CA" w:rsidRPr="009E4F04" w:rsidRDefault="00A561CA" w:rsidP="00A561CA">
      <w:pPr>
        <w:pStyle w:val="Heading2"/>
        <w:spacing w:before="0" w:line="360" w:lineRule="auto"/>
        <w:rPr>
          <w:rFonts w:cs="Times New Roman"/>
          <w:szCs w:val="24"/>
        </w:rPr>
      </w:pPr>
      <w:bookmarkStart w:id="6" w:name="_Toc98006232"/>
      <w:proofErr w:type="spellStart"/>
      <w:r w:rsidRPr="009E4F04">
        <w:rPr>
          <w:rFonts w:cs="Times New Roman"/>
          <w:szCs w:val="24"/>
        </w:rPr>
        <w:t>Kegunaan</w:t>
      </w:r>
      <w:proofErr w:type="spellEnd"/>
      <w:r w:rsidRPr="009E4F04">
        <w:rPr>
          <w:rFonts w:cs="Times New Roman"/>
          <w:szCs w:val="24"/>
        </w:rPr>
        <w:t xml:space="preserve"> </w:t>
      </w:r>
      <w:proofErr w:type="spellStart"/>
      <w:r w:rsidRPr="009E4F04">
        <w:rPr>
          <w:rFonts w:cs="Times New Roman"/>
          <w:szCs w:val="24"/>
        </w:rPr>
        <w:t>Penelitian</w:t>
      </w:r>
      <w:bookmarkEnd w:id="6"/>
      <w:proofErr w:type="spellEnd"/>
    </w:p>
    <w:p w14:paraId="37FA5B47" w14:textId="77777777" w:rsidR="00A561CA" w:rsidRPr="009E4F04" w:rsidRDefault="00A561CA" w:rsidP="00A561CA">
      <w:pPr>
        <w:pStyle w:val="ListParagraph"/>
        <w:spacing w:after="0" w:line="360" w:lineRule="auto"/>
        <w:ind w:left="567" w:firstLine="7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F0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>:</w:t>
      </w:r>
    </w:p>
    <w:p w14:paraId="1A8C8418" w14:textId="77777777" w:rsidR="00A561CA" w:rsidRPr="009E4F04" w:rsidRDefault="00A561CA" w:rsidP="00A561CA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1BB44345" w14:textId="77777777" w:rsidR="00A561CA" w:rsidRPr="009E4F04" w:rsidRDefault="00A561CA" w:rsidP="00A561CA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lastRenderedPageBreak/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proofErr w:type="gram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komparatif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CAMEL,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56A88" w14:textId="77777777" w:rsidR="00A561CA" w:rsidRPr="009E4F04" w:rsidRDefault="00A561CA" w:rsidP="00A561CA">
      <w:pPr>
        <w:pStyle w:val="ListParagraph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3254D3A6" w14:textId="77777777" w:rsidR="00A561CA" w:rsidRPr="009E4F04" w:rsidRDefault="00A561CA" w:rsidP="00A561CA">
      <w:pPr>
        <w:pStyle w:val="ListParagraph"/>
        <w:numPr>
          <w:ilvl w:val="0"/>
          <w:numId w:val="5"/>
        </w:numPr>
        <w:spacing w:after="0" w:line="36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Perusahaan</w:t>
      </w:r>
    </w:p>
    <w:p w14:paraId="7B486509" w14:textId="77777777" w:rsidR="00A561CA" w:rsidRPr="009E4F04" w:rsidRDefault="00A561CA" w:rsidP="00A561CA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F04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manager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591364" w14:textId="77777777" w:rsidR="00A561CA" w:rsidRPr="009E4F04" w:rsidRDefault="00A561CA" w:rsidP="00A561CA">
      <w:pPr>
        <w:pStyle w:val="ListParagraph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0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Investor</w:t>
      </w:r>
    </w:p>
    <w:p w14:paraId="2B49A664" w14:textId="77777777" w:rsidR="00AB2BBB" w:rsidRPr="00A561CA" w:rsidRDefault="00A561CA" w:rsidP="00A561CA"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9E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04"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B2BBB" w:rsidRPr="00A561CA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2A56" w14:textId="77777777" w:rsidR="008258DF" w:rsidRDefault="008258DF">
      <w:pPr>
        <w:spacing w:after="0" w:line="240" w:lineRule="auto"/>
      </w:pPr>
      <w:r>
        <w:separator/>
      </w:r>
    </w:p>
  </w:endnote>
  <w:endnote w:type="continuationSeparator" w:id="0">
    <w:p w14:paraId="71CCF575" w14:textId="77777777" w:rsidR="008258DF" w:rsidRDefault="008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0051" w14:textId="77777777" w:rsidR="007A749B" w:rsidRDefault="007A7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83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7BBE9" w14:textId="77777777" w:rsidR="00A561CA" w:rsidRDefault="00A561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10B61B" w14:textId="77777777" w:rsidR="00A561CA" w:rsidRDefault="00A561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1544" w14:textId="77777777" w:rsidR="007A749B" w:rsidRDefault="007A7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F3BC" w14:textId="77777777" w:rsidR="008258DF" w:rsidRDefault="008258DF">
      <w:pPr>
        <w:spacing w:after="0" w:line="240" w:lineRule="auto"/>
      </w:pPr>
      <w:r>
        <w:separator/>
      </w:r>
    </w:p>
  </w:footnote>
  <w:footnote w:type="continuationSeparator" w:id="0">
    <w:p w14:paraId="108CD060" w14:textId="77777777" w:rsidR="008258DF" w:rsidRDefault="0082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969A" w14:textId="5DA196FD" w:rsidR="007A749B" w:rsidRDefault="007A749B">
    <w:pPr>
      <w:pStyle w:val="Header"/>
    </w:pPr>
    <w:r>
      <w:rPr>
        <w:noProof/>
      </w:rPr>
      <w:pict w14:anchorId="1B2A6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3729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8501" w14:textId="4430FA7C" w:rsidR="00A561CA" w:rsidRDefault="007A749B">
    <w:pPr>
      <w:pStyle w:val="Header"/>
    </w:pPr>
    <w:r>
      <w:rPr>
        <w:noProof/>
      </w:rPr>
      <w:pict w14:anchorId="26063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3729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924A" w14:textId="08E59E4A" w:rsidR="007A749B" w:rsidRDefault="007A749B">
    <w:pPr>
      <w:pStyle w:val="Header"/>
    </w:pPr>
    <w:r>
      <w:rPr>
        <w:noProof/>
      </w:rPr>
      <w:pict w14:anchorId="6BF62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3729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D1" w14:textId="0E7EF414" w:rsidR="007A749B" w:rsidRDefault="007A749B">
    <w:pPr>
      <w:pStyle w:val="Header"/>
    </w:pPr>
    <w:r>
      <w:rPr>
        <w:noProof/>
      </w:rPr>
      <w:pict w14:anchorId="37666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37300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7F68" w14:textId="6EB28AD2" w:rsidR="00A81776" w:rsidRDefault="007A749B" w:rsidP="00811041">
    <w:pPr>
      <w:pStyle w:val="Header"/>
      <w:jc w:val="center"/>
    </w:pPr>
    <w:r>
      <w:rPr>
        <w:noProof/>
      </w:rPr>
      <w:pict w14:anchorId="52847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37301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E9D7" w14:textId="356FB958" w:rsidR="007A749B" w:rsidRDefault="007A749B">
    <w:pPr>
      <w:pStyle w:val="Header"/>
    </w:pPr>
    <w:r>
      <w:rPr>
        <w:noProof/>
      </w:rPr>
      <w:pict w14:anchorId="1A262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37299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B6F"/>
    <w:multiLevelType w:val="hybridMultilevel"/>
    <w:tmpl w:val="6C3CAE18"/>
    <w:lvl w:ilvl="0" w:tplc="F58805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39062BB"/>
    <w:multiLevelType w:val="multilevel"/>
    <w:tmpl w:val="B5A61A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52B7F0C"/>
    <w:multiLevelType w:val="multilevel"/>
    <w:tmpl w:val="A99425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8845B9E"/>
    <w:multiLevelType w:val="hybridMultilevel"/>
    <w:tmpl w:val="E1D8D9A0"/>
    <w:lvl w:ilvl="0" w:tplc="E25696A8">
      <w:start w:val="1"/>
      <w:numFmt w:val="lowerLetter"/>
      <w:lvlText w:val="%1"/>
      <w:lvlJc w:val="left"/>
      <w:pPr>
        <w:ind w:left="2160" w:hanging="360"/>
      </w:pPr>
      <w:rPr>
        <w:rFonts w:hint="default"/>
      </w:rPr>
    </w:lvl>
    <w:lvl w:ilvl="1" w:tplc="85FA5E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5424"/>
    <w:multiLevelType w:val="multilevel"/>
    <w:tmpl w:val="42D2FE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0567561"/>
    <w:multiLevelType w:val="hybridMultilevel"/>
    <w:tmpl w:val="A0521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62C4"/>
    <w:multiLevelType w:val="hybridMultilevel"/>
    <w:tmpl w:val="6394B124"/>
    <w:lvl w:ilvl="0" w:tplc="8BACC3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25F"/>
    <w:multiLevelType w:val="hybridMultilevel"/>
    <w:tmpl w:val="EE7EF154"/>
    <w:lvl w:ilvl="0" w:tplc="2CD2BE9E">
      <w:start w:val="1"/>
      <w:numFmt w:val="decimal"/>
      <w:lvlText w:val="2.3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32699"/>
    <w:multiLevelType w:val="hybridMultilevel"/>
    <w:tmpl w:val="D2828572"/>
    <w:lvl w:ilvl="0" w:tplc="7E7A73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7252D5"/>
    <w:multiLevelType w:val="hybridMultilevel"/>
    <w:tmpl w:val="049E8F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EF50A7"/>
    <w:multiLevelType w:val="hybridMultilevel"/>
    <w:tmpl w:val="14661208"/>
    <w:lvl w:ilvl="0" w:tplc="277AC8C8">
      <w:start w:val="1"/>
      <w:numFmt w:val="decimal"/>
      <w:lvlText w:val="2.1.%1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4309" w:hanging="360"/>
      </w:pPr>
    </w:lvl>
    <w:lvl w:ilvl="2" w:tplc="0421001B" w:tentative="1">
      <w:start w:val="1"/>
      <w:numFmt w:val="lowerRoman"/>
      <w:lvlText w:val="%3."/>
      <w:lvlJc w:val="right"/>
      <w:pPr>
        <w:ind w:left="5029" w:hanging="180"/>
      </w:pPr>
    </w:lvl>
    <w:lvl w:ilvl="3" w:tplc="0421000F" w:tentative="1">
      <w:start w:val="1"/>
      <w:numFmt w:val="decimal"/>
      <w:lvlText w:val="%4."/>
      <w:lvlJc w:val="left"/>
      <w:pPr>
        <w:ind w:left="5749" w:hanging="360"/>
      </w:pPr>
    </w:lvl>
    <w:lvl w:ilvl="4" w:tplc="04210019" w:tentative="1">
      <w:start w:val="1"/>
      <w:numFmt w:val="lowerLetter"/>
      <w:lvlText w:val="%5."/>
      <w:lvlJc w:val="left"/>
      <w:pPr>
        <w:ind w:left="6469" w:hanging="360"/>
      </w:pPr>
    </w:lvl>
    <w:lvl w:ilvl="5" w:tplc="0421001B" w:tentative="1">
      <w:start w:val="1"/>
      <w:numFmt w:val="lowerRoman"/>
      <w:lvlText w:val="%6."/>
      <w:lvlJc w:val="right"/>
      <w:pPr>
        <w:ind w:left="7189" w:hanging="180"/>
      </w:pPr>
    </w:lvl>
    <w:lvl w:ilvl="6" w:tplc="0421000F" w:tentative="1">
      <w:start w:val="1"/>
      <w:numFmt w:val="decimal"/>
      <w:lvlText w:val="%7."/>
      <w:lvlJc w:val="left"/>
      <w:pPr>
        <w:ind w:left="7909" w:hanging="360"/>
      </w:pPr>
    </w:lvl>
    <w:lvl w:ilvl="7" w:tplc="04210019" w:tentative="1">
      <w:start w:val="1"/>
      <w:numFmt w:val="lowerLetter"/>
      <w:lvlText w:val="%8."/>
      <w:lvlJc w:val="left"/>
      <w:pPr>
        <w:ind w:left="8629" w:hanging="360"/>
      </w:pPr>
    </w:lvl>
    <w:lvl w:ilvl="8" w:tplc="0421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1" w15:restartNumberingAfterBreak="0">
    <w:nsid w:val="21241F0C"/>
    <w:multiLevelType w:val="hybridMultilevel"/>
    <w:tmpl w:val="CBCAA81C"/>
    <w:lvl w:ilvl="0" w:tplc="372605A2">
      <w:start w:val="1"/>
      <w:numFmt w:val="decimal"/>
      <w:lvlText w:val="4.3.2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3551E51"/>
    <w:multiLevelType w:val="hybridMultilevel"/>
    <w:tmpl w:val="08C27302"/>
    <w:lvl w:ilvl="0" w:tplc="04090019">
      <w:start w:val="1"/>
      <w:numFmt w:val="lowerLetter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24B90216"/>
    <w:multiLevelType w:val="hybridMultilevel"/>
    <w:tmpl w:val="4F60A4CC"/>
    <w:lvl w:ilvl="0" w:tplc="FD10EA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A0782"/>
    <w:multiLevelType w:val="hybridMultilevel"/>
    <w:tmpl w:val="E4B0B038"/>
    <w:lvl w:ilvl="0" w:tplc="D43A2B6A">
      <w:start w:val="1"/>
      <w:numFmt w:val="decimal"/>
      <w:lvlText w:val="4.3.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1C2"/>
    <w:multiLevelType w:val="hybridMultilevel"/>
    <w:tmpl w:val="C2F47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70961"/>
    <w:multiLevelType w:val="hybridMultilevel"/>
    <w:tmpl w:val="7850FC6A"/>
    <w:lvl w:ilvl="0" w:tplc="5D7606CE">
      <w:start w:val="1"/>
      <w:numFmt w:val="decimal"/>
      <w:lvlText w:val="%1."/>
      <w:lvlJc w:val="left"/>
      <w:pPr>
        <w:ind w:left="32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B0A85"/>
    <w:multiLevelType w:val="hybridMultilevel"/>
    <w:tmpl w:val="8A2E835A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34AA1363"/>
    <w:multiLevelType w:val="hybridMultilevel"/>
    <w:tmpl w:val="6010AB6E"/>
    <w:lvl w:ilvl="0" w:tplc="2C262BA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B6276"/>
    <w:multiLevelType w:val="hybridMultilevel"/>
    <w:tmpl w:val="7070D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CFC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072EA"/>
    <w:multiLevelType w:val="hybridMultilevel"/>
    <w:tmpl w:val="228CB012"/>
    <w:lvl w:ilvl="0" w:tplc="0409000F">
      <w:start w:val="1"/>
      <w:numFmt w:val="decimal"/>
      <w:lvlText w:val="%1."/>
      <w:lvlJc w:val="left"/>
      <w:pPr>
        <w:ind w:left="3283" w:hanging="360"/>
      </w:pPr>
    </w:lvl>
    <w:lvl w:ilvl="1" w:tplc="04090019" w:tentative="1">
      <w:start w:val="1"/>
      <w:numFmt w:val="lowerLetter"/>
      <w:lvlText w:val="%2."/>
      <w:lvlJc w:val="left"/>
      <w:pPr>
        <w:ind w:left="4003" w:hanging="360"/>
      </w:pPr>
    </w:lvl>
    <w:lvl w:ilvl="2" w:tplc="0409001B" w:tentative="1">
      <w:start w:val="1"/>
      <w:numFmt w:val="lowerRoman"/>
      <w:lvlText w:val="%3."/>
      <w:lvlJc w:val="right"/>
      <w:pPr>
        <w:ind w:left="4723" w:hanging="180"/>
      </w:pPr>
    </w:lvl>
    <w:lvl w:ilvl="3" w:tplc="0409000F" w:tentative="1">
      <w:start w:val="1"/>
      <w:numFmt w:val="decimal"/>
      <w:lvlText w:val="%4."/>
      <w:lvlJc w:val="left"/>
      <w:pPr>
        <w:ind w:left="5443" w:hanging="360"/>
      </w:pPr>
    </w:lvl>
    <w:lvl w:ilvl="4" w:tplc="04090019" w:tentative="1">
      <w:start w:val="1"/>
      <w:numFmt w:val="lowerLetter"/>
      <w:lvlText w:val="%5."/>
      <w:lvlJc w:val="left"/>
      <w:pPr>
        <w:ind w:left="6163" w:hanging="360"/>
      </w:pPr>
    </w:lvl>
    <w:lvl w:ilvl="5" w:tplc="0409001B" w:tentative="1">
      <w:start w:val="1"/>
      <w:numFmt w:val="lowerRoman"/>
      <w:lvlText w:val="%6."/>
      <w:lvlJc w:val="right"/>
      <w:pPr>
        <w:ind w:left="6883" w:hanging="180"/>
      </w:pPr>
    </w:lvl>
    <w:lvl w:ilvl="6" w:tplc="0409000F" w:tentative="1">
      <w:start w:val="1"/>
      <w:numFmt w:val="decimal"/>
      <w:lvlText w:val="%7."/>
      <w:lvlJc w:val="left"/>
      <w:pPr>
        <w:ind w:left="7603" w:hanging="360"/>
      </w:pPr>
    </w:lvl>
    <w:lvl w:ilvl="7" w:tplc="04090019" w:tentative="1">
      <w:start w:val="1"/>
      <w:numFmt w:val="lowerLetter"/>
      <w:lvlText w:val="%8."/>
      <w:lvlJc w:val="left"/>
      <w:pPr>
        <w:ind w:left="8323" w:hanging="360"/>
      </w:pPr>
    </w:lvl>
    <w:lvl w:ilvl="8" w:tplc="0409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21" w15:restartNumberingAfterBreak="0">
    <w:nsid w:val="3DD42A1D"/>
    <w:multiLevelType w:val="hybridMultilevel"/>
    <w:tmpl w:val="B298F1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3525BE"/>
    <w:multiLevelType w:val="hybridMultilevel"/>
    <w:tmpl w:val="5FE41DF4"/>
    <w:lvl w:ilvl="0" w:tplc="04090011">
      <w:start w:val="1"/>
      <w:numFmt w:val="decimal"/>
      <w:lvlText w:val="%1)"/>
      <w:lvlJc w:val="left"/>
      <w:pPr>
        <w:ind w:left="2137" w:hanging="360"/>
      </w:pPr>
    </w:lvl>
    <w:lvl w:ilvl="1" w:tplc="04210011">
      <w:start w:val="1"/>
      <w:numFmt w:val="decimal"/>
      <w:lvlText w:val="%2)"/>
      <w:lvlJc w:val="left"/>
      <w:pPr>
        <w:ind w:left="2857" w:hanging="360"/>
      </w:pPr>
    </w:lvl>
    <w:lvl w:ilvl="2" w:tplc="0421001B" w:tentative="1">
      <w:start w:val="1"/>
      <w:numFmt w:val="lowerRoman"/>
      <w:lvlText w:val="%3."/>
      <w:lvlJc w:val="right"/>
      <w:pPr>
        <w:ind w:left="3577" w:hanging="180"/>
      </w:pPr>
    </w:lvl>
    <w:lvl w:ilvl="3" w:tplc="0421000F" w:tentative="1">
      <w:start w:val="1"/>
      <w:numFmt w:val="decimal"/>
      <w:lvlText w:val="%4."/>
      <w:lvlJc w:val="left"/>
      <w:pPr>
        <w:ind w:left="4297" w:hanging="360"/>
      </w:pPr>
    </w:lvl>
    <w:lvl w:ilvl="4" w:tplc="04210019" w:tentative="1">
      <w:start w:val="1"/>
      <w:numFmt w:val="lowerLetter"/>
      <w:lvlText w:val="%5."/>
      <w:lvlJc w:val="left"/>
      <w:pPr>
        <w:ind w:left="5017" w:hanging="360"/>
      </w:pPr>
    </w:lvl>
    <w:lvl w:ilvl="5" w:tplc="0421001B" w:tentative="1">
      <w:start w:val="1"/>
      <w:numFmt w:val="lowerRoman"/>
      <w:lvlText w:val="%6."/>
      <w:lvlJc w:val="right"/>
      <w:pPr>
        <w:ind w:left="5737" w:hanging="180"/>
      </w:pPr>
    </w:lvl>
    <w:lvl w:ilvl="6" w:tplc="0421000F" w:tentative="1">
      <w:start w:val="1"/>
      <w:numFmt w:val="decimal"/>
      <w:lvlText w:val="%7."/>
      <w:lvlJc w:val="left"/>
      <w:pPr>
        <w:ind w:left="6457" w:hanging="360"/>
      </w:pPr>
    </w:lvl>
    <w:lvl w:ilvl="7" w:tplc="04210019" w:tentative="1">
      <w:start w:val="1"/>
      <w:numFmt w:val="lowerLetter"/>
      <w:lvlText w:val="%8."/>
      <w:lvlJc w:val="left"/>
      <w:pPr>
        <w:ind w:left="7177" w:hanging="360"/>
      </w:pPr>
    </w:lvl>
    <w:lvl w:ilvl="8" w:tplc="0421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3" w15:restartNumberingAfterBreak="0">
    <w:nsid w:val="45A17D0D"/>
    <w:multiLevelType w:val="hybridMultilevel"/>
    <w:tmpl w:val="8514CEB8"/>
    <w:lvl w:ilvl="0" w:tplc="986260DE">
      <w:start w:val="1"/>
      <w:numFmt w:val="decimal"/>
      <w:lvlText w:val="3.7.2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813A9"/>
    <w:multiLevelType w:val="hybridMultilevel"/>
    <w:tmpl w:val="66985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B0969"/>
    <w:multiLevelType w:val="hybridMultilevel"/>
    <w:tmpl w:val="863C2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178DB"/>
    <w:multiLevelType w:val="hybridMultilevel"/>
    <w:tmpl w:val="62ACF6F4"/>
    <w:lvl w:ilvl="0" w:tplc="E210201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F71D1"/>
    <w:multiLevelType w:val="multilevel"/>
    <w:tmpl w:val="5C6041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6826F4C"/>
    <w:multiLevelType w:val="hybridMultilevel"/>
    <w:tmpl w:val="E9B6A33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01D26"/>
    <w:multiLevelType w:val="hybridMultilevel"/>
    <w:tmpl w:val="D00024EC"/>
    <w:lvl w:ilvl="0" w:tplc="5DF2A192">
      <w:start w:val="1"/>
      <w:numFmt w:val="decimal"/>
      <w:lvlText w:val="3.6.%1"/>
      <w:lvlJc w:val="left"/>
      <w:pPr>
        <w:ind w:left="1440" w:hanging="360"/>
      </w:pPr>
      <w:rPr>
        <w:rFonts w:hint="default"/>
      </w:rPr>
    </w:lvl>
    <w:lvl w:ilvl="1" w:tplc="DCBCDCE4">
      <w:start w:val="1"/>
      <w:numFmt w:val="decimal"/>
      <w:lvlText w:val="3.4.%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248C2"/>
    <w:multiLevelType w:val="multilevel"/>
    <w:tmpl w:val="DE6215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4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EF65A4D"/>
    <w:multiLevelType w:val="multilevel"/>
    <w:tmpl w:val="812E509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1554AB5"/>
    <w:multiLevelType w:val="multilevel"/>
    <w:tmpl w:val="BDECB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3" w15:restartNumberingAfterBreak="0">
    <w:nsid w:val="6A5A5B7C"/>
    <w:multiLevelType w:val="multilevel"/>
    <w:tmpl w:val="E37A50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EB0152F"/>
    <w:multiLevelType w:val="multilevel"/>
    <w:tmpl w:val="C9A2FB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.7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3CF17B5"/>
    <w:multiLevelType w:val="hybridMultilevel"/>
    <w:tmpl w:val="34368A9A"/>
    <w:lvl w:ilvl="0" w:tplc="04090011">
      <w:start w:val="1"/>
      <w:numFmt w:val="decimal"/>
      <w:lvlText w:val="%1)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6" w15:restartNumberingAfterBreak="0">
    <w:nsid w:val="7560330B"/>
    <w:multiLevelType w:val="hybridMultilevel"/>
    <w:tmpl w:val="DB60A9A0"/>
    <w:lvl w:ilvl="0" w:tplc="2B2A4F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6CC3C71"/>
    <w:multiLevelType w:val="hybridMultilevel"/>
    <w:tmpl w:val="E1E6D474"/>
    <w:lvl w:ilvl="0" w:tplc="E702D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41ED0"/>
    <w:multiLevelType w:val="multilevel"/>
    <w:tmpl w:val="7EE220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2.%4"/>
      <w:lvlJc w:val="left"/>
      <w:pPr>
        <w:ind w:left="2282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82D292C"/>
    <w:multiLevelType w:val="hybridMultilevel"/>
    <w:tmpl w:val="484E5CEA"/>
    <w:lvl w:ilvl="0" w:tplc="F04C3BE4">
      <w:start w:val="1"/>
      <w:numFmt w:val="decimal"/>
      <w:lvlText w:val="%1."/>
      <w:lvlJc w:val="left"/>
      <w:pPr>
        <w:ind w:left="775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0" w15:restartNumberingAfterBreak="0">
    <w:nsid w:val="7A415AF4"/>
    <w:multiLevelType w:val="hybridMultilevel"/>
    <w:tmpl w:val="8E6C6DF0"/>
    <w:lvl w:ilvl="0" w:tplc="E0EA0916">
      <w:start w:val="1"/>
      <w:numFmt w:val="decimal"/>
      <w:lvlText w:val="3.7.3.%1"/>
      <w:lvlJc w:val="left"/>
      <w:pPr>
        <w:ind w:left="360" w:hanging="360"/>
      </w:pPr>
      <w:rPr>
        <w:rFonts w:hint="default"/>
      </w:rPr>
    </w:lvl>
    <w:lvl w:ilvl="1" w:tplc="FC224F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F68"/>
    <w:multiLevelType w:val="hybridMultilevel"/>
    <w:tmpl w:val="390E2E50"/>
    <w:lvl w:ilvl="0" w:tplc="533EE83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5109430">
    <w:abstractNumId w:val="19"/>
  </w:num>
  <w:num w:numId="2" w16cid:durableId="99112865">
    <w:abstractNumId w:val="15"/>
  </w:num>
  <w:num w:numId="3" w16cid:durableId="747649703">
    <w:abstractNumId w:val="5"/>
  </w:num>
  <w:num w:numId="4" w16cid:durableId="2018650615">
    <w:abstractNumId w:val="32"/>
  </w:num>
  <w:num w:numId="5" w16cid:durableId="1954246293">
    <w:abstractNumId w:val="21"/>
  </w:num>
  <w:num w:numId="6" w16cid:durableId="846673841">
    <w:abstractNumId w:val="9"/>
  </w:num>
  <w:num w:numId="7" w16cid:durableId="531964033">
    <w:abstractNumId w:val="17"/>
  </w:num>
  <w:num w:numId="8" w16cid:durableId="549071646">
    <w:abstractNumId w:val="24"/>
  </w:num>
  <w:num w:numId="9" w16cid:durableId="278148191">
    <w:abstractNumId w:val="31"/>
  </w:num>
  <w:num w:numId="10" w16cid:durableId="1981642025">
    <w:abstractNumId w:val="35"/>
  </w:num>
  <w:num w:numId="11" w16cid:durableId="92745612">
    <w:abstractNumId w:val="36"/>
  </w:num>
  <w:num w:numId="12" w16cid:durableId="1383166409">
    <w:abstractNumId w:val="3"/>
  </w:num>
  <w:num w:numId="13" w16cid:durableId="1722710082">
    <w:abstractNumId w:val="25"/>
  </w:num>
  <w:num w:numId="14" w16cid:durableId="498010121">
    <w:abstractNumId w:val="16"/>
  </w:num>
  <w:num w:numId="15" w16cid:durableId="1064719142">
    <w:abstractNumId w:val="20"/>
  </w:num>
  <w:num w:numId="16" w16cid:durableId="261450555">
    <w:abstractNumId w:val="12"/>
  </w:num>
  <w:num w:numId="17" w16cid:durableId="362750627">
    <w:abstractNumId w:val="11"/>
  </w:num>
  <w:num w:numId="18" w16cid:durableId="2117290212">
    <w:abstractNumId w:val="41"/>
  </w:num>
  <w:num w:numId="19" w16cid:durableId="2088108756">
    <w:abstractNumId w:val="8"/>
  </w:num>
  <w:num w:numId="20" w16cid:durableId="1727340697">
    <w:abstractNumId w:val="1"/>
  </w:num>
  <w:num w:numId="21" w16cid:durableId="204759589">
    <w:abstractNumId w:val="10"/>
  </w:num>
  <w:num w:numId="22" w16cid:durableId="2066173163">
    <w:abstractNumId w:val="29"/>
  </w:num>
  <w:num w:numId="23" w16cid:durableId="881207422">
    <w:abstractNumId w:val="2"/>
  </w:num>
  <w:num w:numId="24" w16cid:durableId="1916744570">
    <w:abstractNumId w:val="34"/>
  </w:num>
  <w:num w:numId="25" w16cid:durableId="2049718366">
    <w:abstractNumId w:val="23"/>
  </w:num>
  <w:num w:numId="26" w16cid:durableId="1513840741">
    <w:abstractNumId w:val="40"/>
  </w:num>
  <w:num w:numId="27" w16cid:durableId="1015840652">
    <w:abstractNumId w:val="27"/>
  </w:num>
  <w:num w:numId="28" w16cid:durableId="2089767063">
    <w:abstractNumId w:val="33"/>
  </w:num>
  <w:num w:numId="29" w16cid:durableId="1636566645">
    <w:abstractNumId w:val="4"/>
  </w:num>
  <w:num w:numId="30" w16cid:durableId="2119256656">
    <w:abstractNumId w:val="30"/>
  </w:num>
  <w:num w:numId="31" w16cid:durableId="1742481750">
    <w:abstractNumId w:val="14"/>
  </w:num>
  <w:num w:numId="32" w16cid:durableId="1597833669">
    <w:abstractNumId w:val="38"/>
  </w:num>
  <w:num w:numId="33" w16cid:durableId="332270565">
    <w:abstractNumId w:val="6"/>
  </w:num>
  <w:num w:numId="34" w16cid:durableId="1021279748">
    <w:abstractNumId w:val="7"/>
  </w:num>
  <w:num w:numId="35" w16cid:durableId="1960530792">
    <w:abstractNumId w:val="0"/>
  </w:num>
  <w:num w:numId="36" w16cid:durableId="1451046990">
    <w:abstractNumId w:val="28"/>
  </w:num>
  <w:num w:numId="37" w16cid:durableId="1517110096">
    <w:abstractNumId w:val="22"/>
  </w:num>
  <w:num w:numId="38" w16cid:durableId="1004017403">
    <w:abstractNumId w:val="18"/>
  </w:num>
  <w:num w:numId="39" w16cid:durableId="1599678741">
    <w:abstractNumId w:val="37"/>
  </w:num>
  <w:num w:numId="40" w16cid:durableId="1676566862">
    <w:abstractNumId w:val="13"/>
  </w:num>
  <w:num w:numId="41" w16cid:durableId="1944612382">
    <w:abstractNumId w:val="26"/>
  </w:num>
  <w:num w:numId="42" w16cid:durableId="208267961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IeM+/NJW1H/RW7zSxXt7tenAiMPPj9J0ZPiIL/3Aul3YrNXwQ+sbKh0OOjr6wTVriLqXUOTzk2sq4HRcpfQA==" w:salt="kN7tuzDkVhZhebbr0CO9V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0D7"/>
    <w:rsid w:val="001700A0"/>
    <w:rsid w:val="002C00D7"/>
    <w:rsid w:val="00641C43"/>
    <w:rsid w:val="007A749B"/>
    <w:rsid w:val="008258DF"/>
    <w:rsid w:val="00A561CA"/>
    <w:rsid w:val="00A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94C2"/>
  <w15:docId w15:val="{6E7BB5DE-C35A-4DF7-819B-2D9CA7F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CA"/>
  </w:style>
  <w:style w:type="paragraph" w:styleId="Heading1">
    <w:name w:val="heading 1"/>
    <w:basedOn w:val="Normal"/>
    <w:next w:val="Normal"/>
    <w:link w:val="Heading1Char"/>
    <w:uiPriority w:val="9"/>
    <w:qFormat/>
    <w:rsid w:val="002C00D7"/>
    <w:pPr>
      <w:keepNext/>
      <w:keepLines/>
      <w:numPr>
        <w:numId w:val="9"/>
      </w:numPr>
      <w:spacing w:before="72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0D7"/>
    <w:pPr>
      <w:keepNext/>
      <w:keepLines/>
      <w:numPr>
        <w:ilvl w:val="1"/>
        <w:numId w:val="9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0D7"/>
    <w:pPr>
      <w:keepNext/>
      <w:keepLines/>
      <w:numPr>
        <w:ilvl w:val="2"/>
        <w:numId w:val="9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0D7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0D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00D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00D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00D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D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0D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00D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00D7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00D7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C00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C00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C0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C0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0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0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D7"/>
  </w:style>
  <w:style w:type="paragraph" w:styleId="Footer">
    <w:name w:val="footer"/>
    <w:basedOn w:val="Normal"/>
    <w:link w:val="FooterChar"/>
    <w:uiPriority w:val="99"/>
    <w:unhideWhenUsed/>
    <w:rsid w:val="002C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D7"/>
  </w:style>
  <w:style w:type="table" w:styleId="TableGrid">
    <w:name w:val="Table Grid"/>
    <w:basedOn w:val="TableNormal"/>
    <w:uiPriority w:val="59"/>
    <w:rsid w:val="002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00D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C0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C00D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2C00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C00D7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2C00D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C00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00D7"/>
    <w:pPr>
      <w:tabs>
        <w:tab w:val="left" w:pos="1276"/>
        <w:tab w:val="right" w:leader="dot" w:pos="7928"/>
      </w:tabs>
      <w:spacing w:after="10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2C00D7"/>
    <w:pPr>
      <w:tabs>
        <w:tab w:val="left" w:pos="1985"/>
        <w:tab w:val="right" w:leader="dot" w:pos="7928"/>
      </w:tabs>
      <w:spacing w:after="100"/>
      <w:ind w:left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%20IFA%20KULIAH\SEMESTER%207\SKRIPSI\TABULASI%20DATA%20PROSES%20(Autosaved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'ROA GRAFIK'!$G$6</c:f>
              <c:strCache>
                <c:ptCount val="1"/>
                <c:pt idx="0">
                  <c:v>Tahun 2019</c:v>
                </c:pt>
              </c:strCache>
            </c:strRef>
          </c:tx>
          <c:invertIfNegative val="0"/>
          <c:cat>
            <c:strRef>
              <c:f>'ROA GRAFIK'!$F$7:$F$14</c:f>
              <c:strCache>
                <c:ptCount val="8"/>
                <c:pt idx="0">
                  <c:v>AMAR</c:v>
                </c:pt>
                <c:pt idx="1">
                  <c:v>BBCA</c:v>
                </c:pt>
                <c:pt idx="2">
                  <c:v>BBNI</c:v>
                </c:pt>
                <c:pt idx="3">
                  <c:v>BBRI</c:v>
                </c:pt>
                <c:pt idx="4">
                  <c:v>BDMN</c:v>
                </c:pt>
                <c:pt idx="5">
                  <c:v>BNGA</c:v>
                </c:pt>
                <c:pt idx="6">
                  <c:v>BNII</c:v>
                </c:pt>
                <c:pt idx="7">
                  <c:v>NISP</c:v>
                </c:pt>
              </c:strCache>
            </c:strRef>
          </c:cat>
          <c:val>
            <c:numRef>
              <c:f>'ROA GRAFIK'!$G$7:$G$14</c:f>
              <c:numCache>
                <c:formatCode>0.00</c:formatCode>
                <c:ptCount val="8"/>
                <c:pt idx="0">
                  <c:v>2.99</c:v>
                </c:pt>
                <c:pt idx="1">
                  <c:v>4</c:v>
                </c:pt>
                <c:pt idx="2">
                  <c:v>2.4</c:v>
                </c:pt>
                <c:pt idx="3">
                  <c:v>3.5</c:v>
                </c:pt>
                <c:pt idx="4">
                  <c:v>2.1</c:v>
                </c:pt>
                <c:pt idx="5">
                  <c:v>1.99</c:v>
                </c:pt>
                <c:pt idx="6">
                  <c:v>1.45</c:v>
                </c:pt>
                <c:pt idx="7">
                  <c:v>2.2200000000000002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2-4482-9911-127C3686E96E}"/>
            </c:ext>
          </c:extLst>
        </c:ser>
        <c:ser>
          <c:idx val="1"/>
          <c:order val="1"/>
          <c:tx>
            <c:strRef>
              <c:f>'ROA GRAFIK'!$H$6</c:f>
              <c:strCache>
                <c:ptCount val="1"/>
                <c:pt idx="0">
                  <c:v>Tahun 2020</c:v>
                </c:pt>
              </c:strCache>
            </c:strRef>
          </c:tx>
          <c:invertIfNegative val="0"/>
          <c:cat>
            <c:strRef>
              <c:f>'ROA GRAFIK'!$F$7:$F$14</c:f>
              <c:strCache>
                <c:ptCount val="8"/>
                <c:pt idx="0">
                  <c:v>AMAR</c:v>
                </c:pt>
                <c:pt idx="1">
                  <c:v>BBCA</c:v>
                </c:pt>
                <c:pt idx="2">
                  <c:v>BBNI</c:v>
                </c:pt>
                <c:pt idx="3">
                  <c:v>BBRI</c:v>
                </c:pt>
                <c:pt idx="4">
                  <c:v>BDMN</c:v>
                </c:pt>
                <c:pt idx="5">
                  <c:v>BNGA</c:v>
                </c:pt>
                <c:pt idx="6">
                  <c:v>BNII</c:v>
                </c:pt>
                <c:pt idx="7">
                  <c:v>NISP</c:v>
                </c:pt>
              </c:strCache>
            </c:strRef>
          </c:cat>
          <c:val>
            <c:numRef>
              <c:f>'ROA GRAFIK'!$H$7:$H$14</c:f>
              <c:numCache>
                <c:formatCode>0.00</c:formatCode>
                <c:ptCount val="8"/>
                <c:pt idx="0">
                  <c:v>0.74</c:v>
                </c:pt>
                <c:pt idx="1">
                  <c:v>3.3</c:v>
                </c:pt>
                <c:pt idx="2">
                  <c:v>0.5</c:v>
                </c:pt>
                <c:pt idx="3">
                  <c:v>1.98</c:v>
                </c:pt>
                <c:pt idx="4">
                  <c:v>0.5</c:v>
                </c:pt>
                <c:pt idx="5">
                  <c:v>1.06</c:v>
                </c:pt>
                <c:pt idx="6">
                  <c:v>1.04</c:v>
                </c:pt>
                <c:pt idx="7">
                  <c:v>1.47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2-4482-9911-127C3686E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51744"/>
        <c:axId val="144687680"/>
      </c:barChart>
      <c:catAx>
        <c:axId val="134751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4687680"/>
        <c:crosses val="autoZero"/>
        <c:auto val="1"/>
        <c:lblAlgn val="ctr"/>
        <c:lblOffset val="100"/>
        <c:noMultiLvlLbl val="0"/>
      </c:catAx>
      <c:valAx>
        <c:axId val="14468768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34751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441S</dc:creator>
  <cp:lastModifiedBy>asus</cp:lastModifiedBy>
  <cp:revision>3</cp:revision>
  <dcterms:created xsi:type="dcterms:W3CDTF">2022-04-07T22:33:00Z</dcterms:created>
  <dcterms:modified xsi:type="dcterms:W3CDTF">2022-06-18T02:28:00Z</dcterms:modified>
</cp:coreProperties>
</file>