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6AFA" w14:textId="77777777" w:rsidR="00043799" w:rsidRPr="002C77A6" w:rsidRDefault="00043799" w:rsidP="00043799">
      <w:pPr>
        <w:shd w:val="clear" w:color="auto" w:fill="FFFFFF" w:themeFill="background1"/>
        <w:spacing w:after="0" w:line="360" w:lineRule="auto"/>
        <w:jc w:val="center"/>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BAB I</w:t>
      </w:r>
    </w:p>
    <w:p w14:paraId="3FE4F07B" w14:textId="77777777" w:rsidR="00043799" w:rsidRPr="002C77A6" w:rsidRDefault="00043799" w:rsidP="00043799">
      <w:pPr>
        <w:shd w:val="clear" w:color="auto" w:fill="FFFFFF" w:themeFill="background1"/>
        <w:spacing w:after="0" w:line="360" w:lineRule="auto"/>
        <w:jc w:val="center"/>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PENDAHULUAN</w:t>
      </w:r>
    </w:p>
    <w:p w14:paraId="4CEA7BAB" w14:textId="77777777" w:rsidR="00043799" w:rsidRPr="002C77A6" w:rsidRDefault="00043799" w:rsidP="00043799">
      <w:pPr>
        <w:pStyle w:val="ListParagraph"/>
        <w:numPr>
          <w:ilvl w:val="1"/>
          <w:numId w:val="5"/>
        </w:numPr>
        <w:shd w:val="clear" w:color="auto" w:fill="FFFFFF" w:themeFill="background1"/>
        <w:spacing w:after="240" w:line="360" w:lineRule="auto"/>
        <w:ind w:left="426" w:hanging="568"/>
        <w:jc w:val="both"/>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Latar Belakang</w:t>
      </w:r>
    </w:p>
    <w:p w14:paraId="5A9738EB" w14:textId="77777777" w:rsidR="00043799" w:rsidRPr="002C77A6" w:rsidRDefault="00043799" w:rsidP="00043799">
      <w:pPr>
        <w:pStyle w:val="ListParagraph"/>
        <w:shd w:val="clear" w:color="auto" w:fill="FFFFFF" w:themeFill="background1"/>
        <w:spacing w:after="240" w:line="360" w:lineRule="auto"/>
        <w:ind w:left="360" w:firstLine="633"/>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Di Indonesia, telah terjadi fenomena </w:t>
      </w:r>
      <w:r w:rsidRPr="002C77A6">
        <w:rPr>
          <w:rFonts w:ascii="Times New Roman" w:hAnsi="Times New Roman" w:cs="Times New Roman"/>
          <w:i/>
          <w:noProof/>
          <w:sz w:val="24"/>
          <w:szCs w:val="24"/>
          <w:lang w:val="id-ID"/>
        </w:rPr>
        <w:t>tax avoidance</w:t>
      </w:r>
      <w:r w:rsidRPr="002C77A6">
        <w:rPr>
          <w:rFonts w:ascii="Times New Roman" w:hAnsi="Times New Roman" w:cs="Times New Roman"/>
          <w:noProof/>
          <w:sz w:val="24"/>
          <w:szCs w:val="24"/>
          <w:lang w:val="id-ID"/>
        </w:rPr>
        <w:t xml:space="preserve"> yang dilaporkan oleh Direktorat Jenderal Pajak Kementrian Keuangan (DJIP Kemenkeu) bahwa 2.000 perusahaan multinasional dan bergerak di negara tersebut tidak membayar pajak penghasilan (PPh), termasuk yang berasal dari Sektor </w:t>
      </w:r>
      <w:r w:rsidRPr="002C77A6">
        <w:rPr>
          <w:rFonts w:ascii="Times New Roman" w:hAnsi="Times New Roman" w:cs="Times New Roman"/>
          <w:i/>
          <w:noProof/>
          <w:sz w:val="24"/>
          <w:szCs w:val="24"/>
          <w:lang w:val="id-ID"/>
        </w:rPr>
        <w:t>Real Estat "Property"</w:t>
      </w:r>
      <w:r w:rsidRPr="002C77A6">
        <w:rPr>
          <w:rFonts w:ascii="Times New Roman" w:hAnsi="Times New Roman" w:cs="Times New Roman"/>
          <w:noProof/>
          <w:sz w:val="24"/>
          <w:szCs w:val="24"/>
          <w:lang w:val="id-ID"/>
        </w:rPr>
        <w:t xml:space="preserve"> dan lainnya. Teknik yang digunakan guna menghindari pajak sangat beragam dan biasanya  dipakai guna menutupi kenyataan demi menghindari pajak.</w:t>
      </w:r>
    </w:p>
    <w:p w14:paraId="766F7B7D" w14:textId="77777777" w:rsidR="00043799" w:rsidRPr="002C77A6" w:rsidRDefault="00043799" w:rsidP="00043799">
      <w:pPr>
        <w:pStyle w:val="ListParagraph"/>
        <w:shd w:val="clear" w:color="auto" w:fill="FFFFFF" w:themeFill="background1"/>
        <w:spacing w:line="360" w:lineRule="auto"/>
        <w:ind w:left="360" w:firstLine="633"/>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Menurut beberapa fenomena penghindaran pajak </w:t>
      </w:r>
      <w:r w:rsidRPr="002C77A6">
        <w:rPr>
          <w:rFonts w:ascii="Times New Roman" w:hAnsi="Times New Roman" w:cs="Times New Roman"/>
          <w:i/>
          <w:noProof/>
          <w:sz w:val="24"/>
          <w:szCs w:val="24"/>
          <w:lang w:val="id-ID"/>
        </w:rPr>
        <w:t>(Tax Avoidance)</w:t>
      </w:r>
      <w:r w:rsidRPr="002C77A6">
        <w:rPr>
          <w:rFonts w:ascii="Times New Roman" w:hAnsi="Times New Roman" w:cs="Times New Roman"/>
          <w:noProof/>
          <w:sz w:val="24"/>
          <w:szCs w:val="24"/>
          <w:lang w:val="id-ID"/>
        </w:rPr>
        <w:t xml:space="preserve"> di atas, </w:t>
      </w:r>
      <w:r w:rsidRPr="002C77A6">
        <w:rPr>
          <w:rFonts w:ascii="Times New Roman" w:hAnsi="Times New Roman" w:cs="Times New Roman"/>
          <w:i/>
          <w:noProof/>
          <w:sz w:val="24"/>
          <w:szCs w:val="24"/>
          <w:lang w:val="id-ID"/>
        </w:rPr>
        <w:t>problem</w:t>
      </w:r>
      <w:r w:rsidRPr="002C77A6">
        <w:rPr>
          <w:rFonts w:ascii="Times New Roman" w:hAnsi="Times New Roman" w:cs="Times New Roman"/>
          <w:noProof/>
          <w:sz w:val="24"/>
          <w:szCs w:val="24"/>
          <w:lang w:val="id-ID"/>
        </w:rPr>
        <w:t xml:space="preserve"> </w:t>
      </w:r>
      <w:r w:rsidRPr="002C77A6">
        <w:rPr>
          <w:rFonts w:ascii="Times New Roman" w:hAnsi="Times New Roman" w:cs="Times New Roman"/>
          <w:i/>
          <w:noProof/>
          <w:sz w:val="24"/>
          <w:szCs w:val="24"/>
          <w:lang w:val="id-ID"/>
        </w:rPr>
        <w:t>tax avoidance</w:t>
      </w:r>
      <w:r w:rsidRPr="002C77A6">
        <w:rPr>
          <w:rFonts w:ascii="Times New Roman" w:hAnsi="Times New Roman" w:cs="Times New Roman"/>
          <w:noProof/>
          <w:sz w:val="24"/>
          <w:szCs w:val="24"/>
          <w:lang w:val="id-ID"/>
        </w:rPr>
        <w:t xml:space="preserve"> adalah </w:t>
      </w:r>
      <w:r w:rsidRPr="002C77A6">
        <w:rPr>
          <w:rFonts w:ascii="Times New Roman" w:hAnsi="Times New Roman" w:cs="Times New Roman"/>
          <w:i/>
          <w:noProof/>
          <w:sz w:val="24"/>
          <w:szCs w:val="24"/>
          <w:lang w:val="id-ID"/>
        </w:rPr>
        <w:t>problem</w:t>
      </w:r>
      <w:r w:rsidRPr="002C77A6">
        <w:rPr>
          <w:rFonts w:ascii="Times New Roman" w:hAnsi="Times New Roman" w:cs="Times New Roman"/>
          <w:noProof/>
          <w:sz w:val="24"/>
          <w:szCs w:val="24"/>
          <w:lang w:val="id-ID"/>
        </w:rPr>
        <w:t xml:space="preserve"> yang rumit dan unik. Di satu sisi, penghindaran pajak tidak melanggar hukum, tetapi di sisi lain, pemerintah tidak menginginkannya karena dapat mengurangi pendapatan negara.</w:t>
      </w:r>
    </w:p>
    <w:p w14:paraId="2DE16EBC" w14:textId="77777777" w:rsidR="00043799" w:rsidRPr="002C77A6" w:rsidRDefault="00043799" w:rsidP="00043799">
      <w:pPr>
        <w:pStyle w:val="ListParagraph"/>
        <w:shd w:val="clear" w:color="auto" w:fill="FFFFFF" w:themeFill="background1"/>
        <w:spacing w:line="360" w:lineRule="auto"/>
        <w:ind w:left="360" w:firstLine="633"/>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Profitabilitas, salah satu cara untuk mengukur kinerja perusahaan, menunjukkan seberapa baik suatu perusahaan dapat menghasilkan laba pada tingkat penjualan, aset, dan modal tertentu dalam jangka waktu tertentu. Profitabilitas merupakan kondisi keuangan yang diprediksi yang bisa berdampak terhadap </w:t>
      </w:r>
      <w:r w:rsidRPr="002C77A6">
        <w:rPr>
          <w:rFonts w:ascii="Times New Roman" w:hAnsi="Times New Roman" w:cs="Times New Roman"/>
          <w:i/>
          <w:noProof/>
          <w:sz w:val="24"/>
          <w:szCs w:val="24"/>
          <w:lang w:val="id-ID"/>
        </w:rPr>
        <w:t>Tax Avoidance</w:t>
      </w:r>
      <w:r w:rsidRPr="002C77A6">
        <w:rPr>
          <w:rFonts w:ascii="Times New Roman" w:hAnsi="Times New Roman" w:cs="Times New Roman"/>
          <w:noProof/>
          <w:sz w:val="24"/>
          <w:szCs w:val="24"/>
          <w:lang w:val="id-ID"/>
        </w:rPr>
        <w:t xml:space="preserve">. Profitabilitas diukur dengan berbagai </w:t>
      </w:r>
      <w:r>
        <w:rPr>
          <w:rFonts w:ascii="Times New Roman" w:hAnsi="Times New Roman" w:cs="Times New Roman"/>
          <w:sz w:val="24"/>
          <w:szCs w:val="24"/>
        </w:rPr>
        <w:t>ras</w:t>
      </w:r>
      <w:r w:rsidRPr="00385F01">
        <w:rPr>
          <w:rFonts w:ascii="Times New Roman" w:hAnsi="Times New Roman" w:cs="Times New Roman"/>
          <w:sz w:val="24"/>
          <w:szCs w:val="24"/>
        </w:rPr>
        <w:t xml:space="preserve">io, salah satunya adalah </w:t>
      </w:r>
      <w:r w:rsidRPr="004C43A7">
        <w:rPr>
          <w:rFonts w:ascii="Times New Roman" w:hAnsi="Times New Roman" w:cs="Times New Roman"/>
          <w:i/>
          <w:sz w:val="24"/>
          <w:szCs w:val="24"/>
        </w:rPr>
        <w:t>Return On Asset</w:t>
      </w:r>
      <w:r w:rsidRPr="00385F01">
        <w:rPr>
          <w:rFonts w:ascii="Times New Roman" w:hAnsi="Times New Roman" w:cs="Times New Roman"/>
          <w:sz w:val="24"/>
          <w:szCs w:val="24"/>
        </w:rPr>
        <w:t xml:space="preserve"> (ROA), yang menunjukkan kinerja keuangan perusahaan. Semakin tinggi nilai ROA yang dapat dicapai perusahaan, semakin baik kinerja keuangan perusahaan. Keuntungan bersih perusahaan (ROA) dihitung dengan mengenakan pajak pendapatan (PPh) untuk pemungut pajak perusahaan</w:t>
      </w:r>
      <w:r w:rsidRPr="00385F01">
        <w:rPr>
          <w:rFonts w:ascii="Times New Roman" w:hAnsi="Times New Roman" w:cs="Times New Roman"/>
          <w:noProof/>
          <w:sz w:val="24"/>
          <w:szCs w:val="24"/>
          <w:lang w:val="id-ID"/>
        </w:rPr>
        <w:t>.</w:t>
      </w:r>
      <w:r w:rsidRPr="002C77A6">
        <w:rPr>
          <w:rFonts w:ascii="Times New Roman" w:hAnsi="Times New Roman" w:cs="Times New Roman"/>
          <w:noProof/>
          <w:sz w:val="24"/>
          <w:szCs w:val="24"/>
          <w:lang w:val="id-ID"/>
        </w:rPr>
        <w:t xml:space="preserve"> </w:t>
      </w:r>
    </w:p>
    <w:p w14:paraId="3C61F3BF" w14:textId="77777777" w:rsidR="00043799" w:rsidRPr="002C77A6" w:rsidRDefault="00043799" w:rsidP="00043799">
      <w:pPr>
        <w:pStyle w:val="ListParagraph"/>
        <w:shd w:val="clear" w:color="auto" w:fill="FFFFFF" w:themeFill="background1"/>
        <w:spacing w:line="360" w:lineRule="auto"/>
        <w:ind w:left="360" w:firstLine="633"/>
        <w:jc w:val="both"/>
        <w:rPr>
          <w:rFonts w:ascii="Times New Roman" w:hAnsi="Times New Roman" w:cs="Times New Roman"/>
          <w:noProof/>
          <w:sz w:val="24"/>
          <w:szCs w:val="24"/>
          <w:lang w:val="id-ID"/>
        </w:rPr>
        <w:sectPr w:rsidR="00043799" w:rsidRPr="002C77A6" w:rsidSect="00DD2FB2">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09" w:footer="680" w:gutter="0"/>
          <w:cols w:space="708"/>
          <w:titlePg/>
          <w:docGrid w:linePitch="360"/>
        </w:sectPr>
      </w:pPr>
      <w:r w:rsidRPr="002C77A6">
        <w:rPr>
          <w:rFonts w:ascii="Times New Roman" w:hAnsi="Times New Roman" w:cs="Times New Roman"/>
          <w:noProof/>
          <w:sz w:val="24"/>
          <w:szCs w:val="24"/>
          <w:lang w:val="id-ID"/>
        </w:rPr>
        <w:t xml:space="preserve">Oleh karena itu, laba merupakan dasar pengenaan pajak, dan beban pajak yang dibayarkan oleh suatu perusahaan sebanding dengan laba perusahaan. Selain hal di atas, kebijakan pendanaan perusahaan dapat menunjukkan bahwa perusahaan mungkin melakukan penghindaran pajak. </w:t>
      </w:r>
      <w:r w:rsidRPr="00385F01">
        <w:rPr>
          <w:rFonts w:ascii="Times New Roman" w:hAnsi="Times New Roman" w:cs="Times New Roman"/>
          <w:sz w:val="24"/>
          <w:szCs w:val="24"/>
        </w:rPr>
        <w:t xml:space="preserve">Salah satu kebijakan pendanaan adalah kebijakan </w:t>
      </w:r>
      <w:r w:rsidRPr="00385F01">
        <w:rPr>
          <w:rFonts w:ascii="Times New Roman" w:hAnsi="Times New Roman" w:cs="Times New Roman"/>
          <w:i/>
          <w:sz w:val="24"/>
          <w:szCs w:val="24"/>
        </w:rPr>
        <w:t>leverage,</w:t>
      </w:r>
      <w:r w:rsidRPr="00385F01">
        <w:rPr>
          <w:rFonts w:ascii="Times New Roman" w:hAnsi="Times New Roman" w:cs="Times New Roman"/>
          <w:sz w:val="24"/>
          <w:szCs w:val="24"/>
        </w:rPr>
        <w:t xml:space="preserve"> yang merupakan rasio yang digunakan untuk mengukur sejauh mana utang mendanai aset dan aset perusahaan</w:t>
      </w:r>
      <w:r w:rsidRPr="00385F01">
        <w:rPr>
          <w:rFonts w:ascii="Times New Roman" w:hAnsi="Times New Roman" w:cs="Times New Roman"/>
        </w:rPr>
        <w:t>.</w:t>
      </w:r>
      <w:r w:rsidRPr="002C77A6">
        <w:rPr>
          <w:rFonts w:ascii="Times New Roman" w:hAnsi="Times New Roman" w:cs="Times New Roman"/>
          <w:noProof/>
          <w:sz w:val="24"/>
          <w:szCs w:val="24"/>
          <w:lang w:val="id-ID"/>
        </w:rPr>
        <w:t xml:space="preserve"> Jika dibandingkan dengan modal sendiri, perusahaan menggunakan utang untuk </w:t>
      </w:r>
    </w:p>
    <w:p w14:paraId="14D0AAE0" w14:textId="77777777" w:rsidR="00043799" w:rsidRPr="002C77A6" w:rsidRDefault="00043799" w:rsidP="00043799">
      <w:pPr>
        <w:pStyle w:val="ListParagraph"/>
        <w:shd w:val="clear" w:color="auto" w:fill="FFFFFF" w:themeFill="background1"/>
        <w:spacing w:line="360" w:lineRule="auto"/>
        <w:ind w:left="360"/>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lastRenderedPageBreak/>
        <w:t xml:space="preserve">membiayai operasinya. Perusahaan akan memiliki utang pajak yang tinggi jika memiliki kewajiban pajak yang tinggi.   </w:t>
      </w:r>
    </w:p>
    <w:p w14:paraId="2438079A" w14:textId="77777777" w:rsidR="00043799" w:rsidRPr="00DE4514" w:rsidRDefault="00043799" w:rsidP="00043799">
      <w:pPr>
        <w:pStyle w:val="ListParagraph"/>
        <w:shd w:val="clear" w:color="auto" w:fill="FFFFFF" w:themeFill="background1"/>
        <w:spacing w:line="360" w:lineRule="auto"/>
        <w:ind w:left="360" w:firstLine="633"/>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Pertumbuhan penjualan menunjukkan keberhasilan investasi sebelumnya, dengan demikian, peningkatan penjualan dapat digunakan sebagai alat untuk memprediksi pertumbuhan di masa mendatang. </w:t>
      </w:r>
      <w:r w:rsidRPr="00DE4514">
        <w:rPr>
          <w:rFonts w:ascii="Times New Roman" w:hAnsi="Times New Roman" w:cs="Times New Roman"/>
          <w:sz w:val="24"/>
          <w:szCs w:val="24"/>
        </w:rPr>
        <w:t>Perusahaan dengan penjualan besar akan mendapatkan keuntungan besar yang diperoleh oleh perusahaan. Sehingga keuntungan yang dibayarkan oleh perusahaan akan lebih besar lagi. Jika pertumbuhan penjualan lebih tinggi, maka penghindaran pajak lebih tinggi dilakukan oleh perusahaan.</w:t>
      </w:r>
    </w:p>
    <w:p w14:paraId="14886994" w14:textId="77777777" w:rsidR="00043799" w:rsidRPr="002C77A6" w:rsidRDefault="00043799" w:rsidP="00043799">
      <w:pPr>
        <w:shd w:val="clear" w:color="auto" w:fill="FFFFFF" w:themeFill="background1"/>
        <w:tabs>
          <w:tab w:val="left" w:pos="993"/>
        </w:tabs>
        <w:spacing w:line="360" w:lineRule="auto"/>
        <w:ind w:left="426" w:firstLine="567"/>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Menurut Pasal 1 Ayat 1 Undang-Undang Nomor 28 Tahun 2007 tentang perubahan keempat atas Undang-Undang Nomor 6 Tahun 1983 tentang Ketentuan Umum dan Tata Cara Perpajakan, pajak adalah pembayaran yang wajib dan memaksa yang dilakukan oleh individu atau entitas kepada negara sesuai dengan undang-undang, tanpa imbalan yang didapatkan langsung, yang digunakan untuk kebutuhan negara dan kesejahteraan rakyat. </w:t>
      </w:r>
    </w:p>
    <w:p w14:paraId="504702F2" w14:textId="77777777" w:rsidR="00043799" w:rsidRPr="002C77A6" w:rsidRDefault="00043799" w:rsidP="00043799">
      <w:pPr>
        <w:shd w:val="clear" w:color="auto" w:fill="FFFFFF" w:themeFill="background1"/>
        <w:spacing w:after="0" w:line="360" w:lineRule="auto"/>
        <w:ind w:left="426" w:firstLine="360"/>
        <w:jc w:val="center"/>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Tabel 1.1</w:t>
      </w:r>
    </w:p>
    <w:p w14:paraId="4F48CFE3" w14:textId="77777777" w:rsidR="00043799" w:rsidRPr="002C77A6" w:rsidRDefault="00043799" w:rsidP="00043799">
      <w:pPr>
        <w:shd w:val="clear" w:color="auto" w:fill="FFFFFF" w:themeFill="background1"/>
        <w:spacing w:after="0" w:line="360" w:lineRule="auto"/>
        <w:ind w:left="426" w:firstLine="360"/>
        <w:jc w:val="center"/>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Realisasi Penerimaan Negara</w:t>
      </w:r>
    </w:p>
    <w:p w14:paraId="375C065D" w14:textId="77777777" w:rsidR="00043799" w:rsidRPr="002C77A6" w:rsidRDefault="00043799" w:rsidP="00043799">
      <w:pPr>
        <w:shd w:val="clear" w:color="auto" w:fill="FFFFFF" w:themeFill="background1"/>
        <w:spacing w:after="0" w:line="360" w:lineRule="auto"/>
        <w:ind w:left="426" w:firstLine="360"/>
        <w:jc w:val="center"/>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Tahun 2018-2022</w:t>
      </w:r>
    </w:p>
    <w:tbl>
      <w:tblPr>
        <w:tblStyle w:val="TableGrid"/>
        <w:tblW w:w="79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756"/>
        <w:gridCol w:w="1370"/>
        <w:gridCol w:w="711"/>
        <w:gridCol w:w="1840"/>
        <w:gridCol w:w="567"/>
      </w:tblGrid>
      <w:tr w:rsidR="00043799" w:rsidRPr="002C77A6" w14:paraId="327B2C33" w14:textId="77777777" w:rsidTr="00144983">
        <w:tc>
          <w:tcPr>
            <w:tcW w:w="1276" w:type="dxa"/>
            <w:tcBorders>
              <w:top w:val="single" w:sz="4" w:space="0" w:color="auto"/>
              <w:bottom w:val="single" w:sz="4" w:space="0" w:color="auto"/>
            </w:tcBorders>
          </w:tcPr>
          <w:p w14:paraId="606D01E3"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Sumber Penerimaan</w:t>
            </w:r>
          </w:p>
        </w:tc>
        <w:tc>
          <w:tcPr>
            <w:tcW w:w="1418" w:type="dxa"/>
            <w:tcBorders>
              <w:top w:val="single" w:sz="4" w:space="0" w:color="auto"/>
              <w:bottom w:val="single" w:sz="4" w:space="0" w:color="auto"/>
            </w:tcBorders>
          </w:tcPr>
          <w:p w14:paraId="50EE5514"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Penerimaan Perpajakan</w:t>
            </w:r>
          </w:p>
        </w:tc>
        <w:tc>
          <w:tcPr>
            <w:tcW w:w="756" w:type="dxa"/>
            <w:tcBorders>
              <w:top w:val="single" w:sz="4" w:space="0" w:color="auto"/>
              <w:bottom w:val="single" w:sz="4" w:space="0" w:color="auto"/>
            </w:tcBorders>
          </w:tcPr>
          <w:p w14:paraId="6242C485"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p w14:paraId="3679FD81"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w:t>
            </w:r>
          </w:p>
        </w:tc>
        <w:tc>
          <w:tcPr>
            <w:tcW w:w="1370" w:type="dxa"/>
            <w:tcBorders>
              <w:top w:val="single" w:sz="4" w:space="0" w:color="auto"/>
              <w:bottom w:val="single" w:sz="4" w:space="0" w:color="auto"/>
            </w:tcBorders>
          </w:tcPr>
          <w:p w14:paraId="00FF19E1"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Penerimaan Bukan Pajak</w:t>
            </w:r>
          </w:p>
        </w:tc>
        <w:tc>
          <w:tcPr>
            <w:tcW w:w="711" w:type="dxa"/>
            <w:tcBorders>
              <w:top w:val="single" w:sz="4" w:space="0" w:color="auto"/>
              <w:bottom w:val="single" w:sz="4" w:space="0" w:color="auto"/>
            </w:tcBorders>
          </w:tcPr>
          <w:p w14:paraId="55908250"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p w14:paraId="23E40C09"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w:t>
            </w:r>
          </w:p>
        </w:tc>
        <w:tc>
          <w:tcPr>
            <w:tcW w:w="1840" w:type="dxa"/>
            <w:tcBorders>
              <w:top w:val="single" w:sz="4" w:space="0" w:color="auto"/>
              <w:bottom w:val="single" w:sz="4" w:space="0" w:color="auto"/>
            </w:tcBorders>
          </w:tcPr>
          <w:p w14:paraId="7EAE7375"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Total Penerimaan Perpajakan Dan Penerimaan Bukan Pajak</w:t>
            </w:r>
          </w:p>
        </w:tc>
        <w:tc>
          <w:tcPr>
            <w:tcW w:w="567" w:type="dxa"/>
            <w:tcBorders>
              <w:top w:val="single" w:sz="4" w:space="0" w:color="auto"/>
              <w:bottom w:val="single" w:sz="4" w:space="0" w:color="auto"/>
            </w:tcBorders>
          </w:tcPr>
          <w:p w14:paraId="05904692"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p w14:paraId="0AEFF448"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w:t>
            </w:r>
          </w:p>
        </w:tc>
      </w:tr>
      <w:tr w:rsidR="00043799" w:rsidRPr="002C77A6" w14:paraId="4C582CCD" w14:textId="77777777" w:rsidTr="00144983">
        <w:tc>
          <w:tcPr>
            <w:tcW w:w="1276" w:type="dxa"/>
            <w:tcBorders>
              <w:top w:val="single" w:sz="4" w:space="0" w:color="auto"/>
            </w:tcBorders>
          </w:tcPr>
          <w:p w14:paraId="3A5B634A"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2018</w:t>
            </w:r>
          </w:p>
        </w:tc>
        <w:tc>
          <w:tcPr>
            <w:tcW w:w="1418" w:type="dxa"/>
            <w:tcBorders>
              <w:top w:val="nil"/>
              <w:left w:val="nil"/>
              <w:bottom w:val="nil"/>
              <w:right w:val="nil"/>
            </w:tcBorders>
            <w:shd w:val="clear" w:color="auto" w:fill="auto"/>
          </w:tcPr>
          <w:p w14:paraId="5EFCE1A7"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1.518.789,80</w:t>
            </w:r>
          </w:p>
        </w:tc>
        <w:tc>
          <w:tcPr>
            <w:tcW w:w="756" w:type="dxa"/>
            <w:tcBorders>
              <w:top w:val="single" w:sz="4" w:space="0" w:color="auto"/>
            </w:tcBorders>
          </w:tcPr>
          <w:p w14:paraId="2669A05B"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78,77</w:t>
            </w:r>
          </w:p>
        </w:tc>
        <w:tc>
          <w:tcPr>
            <w:tcW w:w="1370" w:type="dxa"/>
            <w:tcBorders>
              <w:top w:val="nil"/>
              <w:left w:val="nil"/>
              <w:bottom w:val="nil"/>
              <w:right w:val="nil"/>
            </w:tcBorders>
            <w:shd w:val="clear" w:color="auto" w:fill="auto"/>
          </w:tcPr>
          <w:p w14:paraId="3D3990FC"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409.320,20</w:t>
            </w:r>
          </w:p>
        </w:tc>
        <w:tc>
          <w:tcPr>
            <w:tcW w:w="711" w:type="dxa"/>
            <w:tcBorders>
              <w:top w:val="single" w:sz="4" w:space="0" w:color="auto"/>
            </w:tcBorders>
          </w:tcPr>
          <w:p w14:paraId="647BE9CA"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21,22</w:t>
            </w:r>
          </w:p>
        </w:tc>
        <w:tc>
          <w:tcPr>
            <w:tcW w:w="1840" w:type="dxa"/>
            <w:tcBorders>
              <w:top w:val="nil"/>
              <w:left w:val="nil"/>
              <w:bottom w:val="nil"/>
              <w:right w:val="nil"/>
            </w:tcBorders>
            <w:shd w:val="clear" w:color="auto" w:fill="auto"/>
          </w:tcPr>
          <w:p w14:paraId="00C4C6D9"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1.928.110,00</w:t>
            </w:r>
          </w:p>
        </w:tc>
        <w:tc>
          <w:tcPr>
            <w:tcW w:w="567" w:type="dxa"/>
            <w:tcBorders>
              <w:top w:val="single" w:sz="4" w:space="0" w:color="auto"/>
            </w:tcBorders>
          </w:tcPr>
          <w:p w14:paraId="180D2BDB"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100</w:t>
            </w:r>
          </w:p>
        </w:tc>
      </w:tr>
      <w:tr w:rsidR="00043799" w:rsidRPr="002C77A6" w14:paraId="274CC26D" w14:textId="77777777" w:rsidTr="00144983">
        <w:tc>
          <w:tcPr>
            <w:tcW w:w="1276" w:type="dxa"/>
          </w:tcPr>
          <w:p w14:paraId="6DBB9B4F"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2019</w:t>
            </w:r>
          </w:p>
        </w:tc>
        <w:tc>
          <w:tcPr>
            <w:tcW w:w="1418" w:type="dxa"/>
            <w:tcBorders>
              <w:top w:val="nil"/>
              <w:left w:val="nil"/>
              <w:bottom w:val="nil"/>
              <w:right w:val="nil"/>
            </w:tcBorders>
            <w:shd w:val="clear" w:color="auto" w:fill="auto"/>
          </w:tcPr>
          <w:p w14:paraId="51421E55"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1.546.141,90</w:t>
            </w:r>
          </w:p>
        </w:tc>
        <w:tc>
          <w:tcPr>
            <w:tcW w:w="756" w:type="dxa"/>
          </w:tcPr>
          <w:p w14:paraId="70928DCD"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79,08</w:t>
            </w:r>
          </w:p>
        </w:tc>
        <w:tc>
          <w:tcPr>
            <w:tcW w:w="1370" w:type="dxa"/>
            <w:tcBorders>
              <w:top w:val="nil"/>
              <w:left w:val="nil"/>
              <w:bottom w:val="nil"/>
              <w:right w:val="nil"/>
            </w:tcBorders>
            <w:shd w:val="clear" w:color="auto" w:fill="auto"/>
          </w:tcPr>
          <w:p w14:paraId="4156D308"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408.994,30</w:t>
            </w:r>
          </w:p>
        </w:tc>
        <w:tc>
          <w:tcPr>
            <w:tcW w:w="711" w:type="dxa"/>
          </w:tcPr>
          <w:p w14:paraId="3AEAA090"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20,91</w:t>
            </w:r>
          </w:p>
        </w:tc>
        <w:tc>
          <w:tcPr>
            <w:tcW w:w="1840" w:type="dxa"/>
            <w:tcBorders>
              <w:top w:val="nil"/>
              <w:left w:val="nil"/>
              <w:bottom w:val="nil"/>
              <w:right w:val="nil"/>
            </w:tcBorders>
            <w:shd w:val="clear" w:color="auto" w:fill="auto"/>
          </w:tcPr>
          <w:p w14:paraId="561E992A"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1.955.136,20</w:t>
            </w:r>
          </w:p>
        </w:tc>
        <w:tc>
          <w:tcPr>
            <w:tcW w:w="567" w:type="dxa"/>
          </w:tcPr>
          <w:p w14:paraId="6EE6CCD4"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100</w:t>
            </w:r>
          </w:p>
        </w:tc>
      </w:tr>
      <w:tr w:rsidR="00043799" w:rsidRPr="002C77A6" w14:paraId="7ABEB9BC" w14:textId="77777777" w:rsidTr="00144983">
        <w:tc>
          <w:tcPr>
            <w:tcW w:w="1276" w:type="dxa"/>
          </w:tcPr>
          <w:p w14:paraId="46CB882B"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2020</w:t>
            </w:r>
          </w:p>
        </w:tc>
        <w:tc>
          <w:tcPr>
            <w:tcW w:w="1418" w:type="dxa"/>
            <w:tcBorders>
              <w:top w:val="nil"/>
              <w:left w:val="nil"/>
              <w:bottom w:val="nil"/>
              <w:right w:val="nil"/>
            </w:tcBorders>
            <w:shd w:val="clear" w:color="auto" w:fill="auto"/>
          </w:tcPr>
          <w:p w14:paraId="0933B8C9"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1.285.136,32</w:t>
            </w:r>
          </w:p>
        </w:tc>
        <w:tc>
          <w:tcPr>
            <w:tcW w:w="756" w:type="dxa"/>
          </w:tcPr>
          <w:p w14:paraId="20449E5C"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78,89</w:t>
            </w:r>
          </w:p>
        </w:tc>
        <w:tc>
          <w:tcPr>
            <w:tcW w:w="1370" w:type="dxa"/>
            <w:tcBorders>
              <w:top w:val="nil"/>
              <w:left w:val="nil"/>
              <w:bottom w:val="nil"/>
              <w:right w:val="nil"/>
            </w:tcBorders>
            <w:shd w:val="clear" w:color="auto" w:fill="auto"/>
          </w:tcPr>
          <w:p w14:paraId="037BF0C3"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343.814,21</w:t>
            </w:r>
          </w:p>
        </w:tc>
        <w:tc>
          <w:tcPr>
            <w:tcW w:w="711" w:type="dxa"/>
          </w:tcPr>
          <w:p w14:paraId="44D02B4D"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21,10</w:t>
            </w:r>
          </w:p>
        </w:tc>
        <w:tc>
          <w:tcPr>
            <w:tcW w:w="1840" w:type="dxa"/>
            <w:tcBorders>
              <w:top w:val="nil"/>
              <w:left w:val="nil"/>
              <w:bottom w:val="nil"/>
              <w:right w:val="nil"/>
            </w:tcBorders>
            <w:shd w:val="clear" w:color="auto" w:fill="auto"/>
          </w:tcPr>
          <w:p w14:paraId="011A073D"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1.628.950,53</w:t>
            </w:r>
          </w:p>
        </w:tc>
        <w:tc>
          <w:tcPr>
            <w:tcW w:w="567" w:type="dxa"/>
          </w:tcPr>
          <w:p w14:paraId="5E944F9A"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100</w:t>
            </w:r>
          </w:p>
        </w:tc>
      </w:tr>
      <w:tr w:rsidR="00043799" w:rsidRPr="002C77A6" w14:paraId="22D94ECB" w14:textId="77777777" w:rsidTr="00144983">
        <w:tc>
          <w:tcPr>
            <w:tcW w:w="1276" w:type="dxa"/>
            <w:tcBorders>
              <w:bottom w:val="nil"/>
            </w:tcBorders>
          </w:tcPr>
          <w:p w14:paraId="01E85118"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2021</w:t>
            </w:r>
          </w:p>
        </w:tc>
        <w:tc>
          <w:tcPr>
            <w:tcW w:w="1418" w:type="dxa"/>
            <w:tcBorders>
              <w:top w:val="nil"/>
              <w:left w:val="nil"/>
              <w:bottom w:val="nil"/>
              <w:right w:val="nil"/>
            </w:tcBorders>
            <w:shd w:val="clear" w:color="auto" w:fill="auto"/>
          </w:tcPr>
          <w:p w14:paraId="487BB97E"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1.547.841,10</w:t>
            </w:r>
          </w:p>
        </w:tc>
        <w:tc>
          <w:tcPr>
            <w:tcW w:w="756" w:type="dxa"/>
            <w:tcBorders>
              <w:bottom w:val="nil"/>
            </w:tcBorders>
          </w:tcPr>
          <w:p w14:paraId="4D880452"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77,14</w:t>
            </w:r>
          </w:p>
        </w:tc>
        <w:tc>
          <w:tcPr>
            <w:tcW w:w="1370" w:type="dxa"/>
            <w:tcBorders>
              <w:top w:val="nil"/>
              <w:left w:val="nil"/>
              <w:bottom w:val="nil"/>
              <w:right w:val="nil"/>
            </w:tcBorders>
            <w:shd w:val="clear" w:color="auto" w:fill="auto"/>
          </w:tcPr>
          <w:p w14:paraId="761A9DB2"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458.493,00</w:t>
            </w:r>
          </w:p>
        </w:tc>
        <w:tc>
          <w:tcPr>
            <w:tcW w:w="711" w:type="dxa"/>
            <w:tcBorders>
              <w:bottom w:val="nil"/>
            </w:tcBorders>
          </w:tcPr>
          <w:p w14:paraId="7620A2AF"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22,85</w:t>
            </w:r>
          </w:p>
        </w:tc>
        <w:tc>
          <w:tcPr>
            <w:tcW w:w="1840" w:type="dxa"/>
            <w:tcBorders>
              <w:top w:val="nil"/>
              <w:left w:val="nil"/>
              <w:bottom w:val="nil"/>
              <w:right w:val="nil"/>
            </w:tcBorders>
            <w:shd w:val="clear" w:color="auto" w:fill="auto"/>
          </w:tcPr>
          <w:p w14:paraId="5D0DF880"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2.006.334,10</w:t>
            </w:r>
          </w:p>
        </w:tc>
        <w:tc>
          <w:tcPr>
            <w:tcW w:w="567" w:type="dxa"/>
            <w:tcBorders>
              <w:bottom w:val="nil"/>
            </w:tcBorders>
          </w:tcPr>
          <w:p w14:paraId="7C033A1C"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100</w:t>
            </w:r>
          </w:p>
        </w:tc>
      </w:tr>
      <w:tr w:rsidR="00043799" w:rsidRPr="002C77A6" w14:paraId="604FE48B" w14:textId="77777777" w:rsidTr="00144983">
        <w:tc>
          <w:tcPr>
            <w:tcW w:w="1276" w:type="dxa"/>
            <w:tcBorders>
              <w:top w:val="nil"/>
              <w:bottom w:val="single" w:sz="4" w:space="0" w:color="auto"/>
            </w:tcBorders>
          </w:tcPr>
          <w:p w14:paraId="05B076B9"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2022</w:t>
            </w:r>
          </w:p>
        </w:tc>
        <w:tc>
          <w:tcPr>
            <w:tcW w:w="1418" w:type="dxa"/>
            <w:tcBorders>
              <w:top w:val="nil"/>
              <w:left w:val="nil"/>
              <w:bottom w:val="single" w:sz="4" w:space="0" w:color="auto"/>
              <w:right w:val="nil"/>
            </w:tcBorders>
            <w:shd w:val="clear" w:color="auto" w:fill="auto"/>
          </w:tcPr>
          <w:p w14:paraId="5DC75ACA"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1.924.937,50</w:t>
            </w:r>
          </w:p>
        </w:tc>
        <w:tc>
          <w:tcPr>
            <w:tcW w:w="756" w:type="dxa"/>
            <w:tcBorders>
              <w:top w:val="nil"/>
              <w:bottom w:val="single" w:sz="4" w:space="0" w:color="auto"/>
            </w:tcBorders>
          </w:tcPr>
          <w:p w14:paraId="43F2F171"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79,02</w:t>
            </w:r>
          </w:p>
        </w:tc>
        <w:tc>
          <w:tcPr>
            <w:tcW w:w="1370" w:type="dxa"/>
            <w:tcBorders>
              <w:top w:val="nil"/>
              <w:left w:val="nil"/>
              <w:bottom w:val="single" w:sz="4" w:space="0" w:color="auto"/>
              <w:right w:val="nil"/>
            </w:tcBorders>
            <w:shd w:val="clear" w:color="auto" w:fill="auto"/>
          </w:tcPr>
          <w:p w14:paraId="5A2551C4"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510.929,60</w:t>
            </w:r>
          </w:p>
        </w:tc>
        <w:tc>
          <w:tcPr>
            <w:tcW w:w="711" w:type="dxa"/>
            <w:tcBorders>
              <w:top w:val="nil"/>
              <w:bottom w:val="single" w:sz="4" w:space="0" w:color="auto"/>
            </w:tcBorders>
          </w:tcPr>
          <w:p w14:paraId="64BEC49C"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20,97</w:t>
            </w:r>
          </w:p>
        </w:tc>
        <w:tc>
          <w:tcPr>
            <w:tcW w:w="1840" w:type="dxa"/>
            <w:tcBorders>
              <w:top w:val="nil"/>
              <w:left w:val="nil"/>
              <w:bottom w:val="single" w:sz="4" w:space="0" w:color="auto"/>
              <w:right w:val="nil"/>
            </w:tcBorders>
            <w:shd w:val="clear" w:color="auto" w:fill="auto"/>
          </w:tcPr>
          <w:p w14:paraId="058990E8" w14:textId="77777777" w:rsidR="00043799" w:rsidRPr="002C77A6" w:rsidRDefault="00043799" w:rsidP="00144983">
            <w:pPr>
              <w:shd w:val="clear" w:color="auto" w:fill="FFFFFF" w:themeFill="background1"/>
              <w:jc w:val="center"/>
              <w:rPr>
                <w:rFonts w:ascii="Times New Roman" w:hAnsi="Times New Roman" w:cs="Times New Roman"/>
                <w:color w:val="000000"/>
              </w:rPr>
            </w:pPr>
            <w:r w:rsidRPr="002C77A6">
              <w:rPr>
                <w:rFonts w:ascii="Times New Roman" w:hAnsi="Times New Roman" w:cs="Times New Roman"/>
                <w:color w:val="000000"/>
              </w:rPr>
              <w:t>2.435.867,10</w:t>
            </w:r>
          </w:p>
        </w:tc>
        <w:tc>
          <w:tcPr>
            <w:tcW w:w="567" w:type="dxa"/>
            <w:tcBorders>
              <w:top w:val="nil"/>
              <w:bottom w:val="single" w:sz="4" w:space="0" w:color="auto"/>
            </w:tcBorders>
          </w:tcPr>
          <w:p w14:paraId="0988CDE8"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100</w:t>
            </w:r>
          </w:p>
        </w:tc>
      </w:tr>
    </w:tbl>
    <w:p w14:paraId="73FF893A" w14:textId="77777777" w:rsidR="00043799" w:rsidRPr="002C77A6" w:rsidRDefault="00043799" w:rsidP="00043799">
      <w:pPr>
        <w:shd w:val="clear" w:color="auto" w:fill="FFFFFF" w:themeFill="background1"/>
        <w:spacing w:line="360" w:lineRule="auto"/>
        <w:ind w:left="142" w:hanging="142"/>
        <w:rPr>
          <w:rFonts w:ascii="Times New Roman" w:hAnsi="Times New Roman" w:cs="Times New Roman"/>
          <w:i/>
          <w:noProof/>
          <w:sz w:val="24"/>
          <w:szCs w:val="24"/>
          <w:lang w:val="id-ID"/>
        </w:rPr>
      </w:pPr>
      <w:r w:rsidRPr="002C77A6">
        <w:rPr>
          <w:rFonts w:ascii="Times New Roman" w:hAnsi="Times New Roman" w:cs="Times New Roman"/>
          <w:i/>
          <w:noProof/>
          <w:sz w:val="24"/>
          <w:szCs w:val="24"/>
          <w:lang w:val="id-ID"/>
        </w:rPr>
        <w:t>Sumber: www.bps.go.id</w:t>
      </w:r>
    </w:p>
    <w:p w14:paraId="2D406304"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sz w:val="24"/>
          <w:szCs w:val="24"/>
        </w:rPr>
      </w:pPr>
      <w:r w:rsidRPr="002C77A6">
        <w:rPr>
          <w:rFonts w:ascii="Times New Roman" w:hAnsi="Times New Roman" w:cs="Times New Roman"/>
          <w:sz w:val="24"/>
          <w:szCs w:val="24"/>
        </w:rPr>
        <w:lastRenderedPageBreak/>
        <w:t xml:space="preserve">Berdasarkan </w:t>
      </w:r>
      <w:r w:rsidRPr="002C77A6">
        <w:rPr>
          <w:rFonts w:ascii="Times New Roman" w:hAnsi="Times New Roman" w:cs="Times New Roman"/>
          <w:sz w:val="24"/>
          <w:szCs w:val="24"/>
          <w:lang w:val="id-ID"/>
        </w:rPr>
        <w:t>dengan data di</w:t>
      </w:r>
      <w:r w:rsidRPr="002C77A6">
        <w:rPr>
          <w:rFonts w:ascii="Times New Roman" w:hAnsi="Times New Roman" w:cs="Times New Roman"/>
          <w:sz w:val="24"/>
          <w:szCs w:val="24"/>
        </w:rPr>
        <w:t xml:space="preserve"> Tabel 1</w:t>
      </w:r>
      <w:r w:rsidRPr="002C77A6">
        <w:rPr>
          <w:rFonts w:ascii="Times New Roman" w:hAnsi="Times New Roman" w:cs="Times New Roman"/>
          <w:sz w:val="24"/>
          <w:szCs w:val="24"/>
          <w:lang w:val="id-ID"/>
        </w:rPr>
        <w:t>.1</w:t>
      </w:r>
      <w:r w:rsidRPr="002C77A6">
        <w:rPr>
          <w:rFonts w:ascii="Times New Roman" w:hAnsi="Times New Roman" w:cs="Times New Roman"/>
          <w:sz w:val="24"/>
          <w:szCs w:val="24"/>
        </w:rPr>
        <w:t xml:space="preserve">, pada tahun 2018, penghasilan negara dari sektor pajak berkisar 78,77% sampai 79% dari total pendapatan perpajakan dan pendapatan bukan pajak. </w:t>
      </w:r>
    </w:p>
    <w:p w14:paraId="1A236E7E"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noProof/>
          <w:sz w:val="24"/>
          <w:szCs w:val="24"/>
          <w:lang w:val="id-ID"/>
        </w:rPr>
      </w:pPr>
      <w:r w:rsidRPr="002C77A6">
        <w:rPr>
          <w:rFonts w:ascii="Times New Roman" w:hAnsi="Times New Roman" w:cs="Times New Roman"/>
          <w:sz w:val="24"/>
          <w:szCs w:val="24"/>
          <w:lang w:val="id-ID"/>
        </w:rPr>
        <w:t xml:space="preserve"> Dinyatakan oleh </w:t>
      </w:r>
      <w:r w:rsidRPr="002C77A6">
        <w:rPr>
          <w:rFonts w:ascii="Times New Roman" w:hAnsi="Times New Roman" w:cs="Times New Roman"/>
          <w:noProof/>
          <w:sz w:val="24"/>
          <w:szCs w:val="24"/>
          <w:lang w:val="id-ID"/>
        </w:rPr>
        <w:fldChar w:fldCharType="begin" w:fldLock="1"/>
      </w:r>
      <w:r w:rsidRPr="002C77A6">
        <w:rPr>
          <w:rFonts w:ascii="Times New Roman" w:hAnsi="Times New Roman" w:cs="Times New Roman"/>
          <w:noProof/>
          <w:sz w:val="24"/>
          <w:szCs w:val="24"/>
          <w:lang w:val="id-ID"/>
        </w:rPr>
        <w:instrText>ADDIN CSL_CITATION {"citationItems":[{"id":"ITEM-1","itemData":{"DOI":"10.56127/jaman.v2i1.211","ISSN":"2828-691X","abstract":"Penelitian ini bertujuan untuk mengkaji dan menganalisis pengaruh profitabilitas, leverage, dan pertumbuhan penjualan terhadap penghindaran pajak, baik secara parsial maupun secara simultan. Sampel penelitian ini adalah perusahaan tambang yang sudah listing dari Bursa Efek Indonesia, data dikumpulkan dari tahun 2015 – 2019. Data yang terkumpul diolah dengan SPSS 25. Kesimpulan penelitian ini adalah variabel profitabilitas berpengaruh positif terhadap penghindaran pajak, variabel leverage tidak berpengaruh terhadap penghindaran pajak, dan variabel pertumbuhan penjualan berpengaruh negatif terhadap penghindaran pajak.","author":[{"dropping-particle":"","family":"Heru Harmadi Sudibyo","given":"","non-dropping-particle":"","parse-names":false,"suffix":""}],"container-title":"Jurnal Akuntansi dan Manajemen Bisnis","id":"ITEM-1","issue":"1","issued":{"date-parts":[["2022"]]},"page":"78-85","title":"Pengaruh Profitabilitas, Leverage, Dan Pertumbuhan Penjualan Terhadap Penghindaran Pajak","type":"article-journal","volume":"2"},"locator":"78","uris":["http://www.mendeley.com/documents/?uuid=377cec16-6bf8-4123-8965-b0cc77bc2165"]}],"mendeley":{"formattedCitation":"(Heru Harmadi Sudibyo 2022, 78)","manualFormatting":"(Sudibyo, 2022:78)","plainTextFormattedCitation":"(Heru Harmadi Sudibyo 2022, 78)","previouslyFormattedCitation":"(Heru Harmadi Sudibyo 2022, 78)"},"properties":{"noteIndex":0},"schema":"https://github.com/citation-style-language/schema/raw/master/csl-citation.json"}</w:instrText>
      </w:r>
      <w:r w:rsidRPr="002C77A6">
        <w:rPr>
          <w:rFonts w:ascii="Times New Roman" w:hAnsi="Times New Roman" w:cs="Times New Roman"/>
          <w:noProof/>
          <w:sz w:val="24"/>
          <w:szCs w:val="24"/>
          <w:lang w:val="id-ID"/>
        </w:rPr>
        <w:fldChar w:fldCharType="separate"/>
      </w:r>
      <w:r w:rsidRPr="002C77A6">
        <w:rPr>
          <w:rFonts w:ascii="Times New Roman" w:hAnsi="Times New Roman" w:cs="Times New Roman"/>
          <w:noProof/>
          <w:sz w:val="24"/>
          <w:szCs w:val="24"/>
          <w:lang w:val="id-ID"/>
        </w:rPr>
        <w:t>(Sudibyo, 2022:78)</w:t>
      </w:r>
      <w:r w:rsidRPr="002C77A6">
        <w:rPr>
          <w:rFonts w:ascii="Times New Roman" w:hAnsi="Times New Roman" w:cs="Times New Roman"/>
          <w:noProof/>
          <w:sz w:val="24"/>
          <w:szCs w:val="24"/>
          <w:lang w:val="id-ID"/>
        </w:rPr>
        <w:fldChar w:fldCharType="end"/>
      </w:r>
      <w:r w:rsidRPr="002C77A6">
        <w:rPr>
          <w:rFonts w:ascii="Times New Roman" w:hAnsi="Times New Roman" w:cs="Times New Roman"/>
          <w:noProof/>
          <w:sz w:val="24"/>
          <w:szCs w:val="24"/>
          <w:lang w:val="id-ID"/>
        </w:rPr>
        <w:t xml:space="preserve"> yang di mana sebagai sumber pembiayaan negara, pajak digunakan guna membangun infrastruktur, fasilitas publik, dan pendidikan dan kesehatan. Akibatnya, sangat penting bagi rakyat untuk menyadari pentingnya membayar pajak. Namun, banyak orang percaya pajak adalah beban yang mengurangi pendapatan sehingga pembayarannya perlu diminimalisir. Sehingga </w:t>
      </w:r>
      <w:r w:rsidRPr="002C77A6">
        <w:rPr>
          <w:rFonts w:ascii="Times New Roman" w:hAnsi="Times New Roman" w:cs="Times New Roman"/>
          <w:noProof/>
          <w:sz w:val="24"/>
          <w:szCs w:val="24"/>
          <w:lang w:val="id-ID"/>
        </w:rPr>
        <w:fldChar w:fldCharType="begin" w:fldLock="1"/>
      </w:r>
      <w:r w:rsidRPr="002C77A6">
        <w:rPr>
          <w:rFonts w:ascii="Times New Roman" w:hAnsi="Times New Roman" w:cs="Times New Roman"/>
          <w:noProof/>
          <w:sz w:val="24"/>
          <w:szCs w:val="24"/>
          <w:lang w:val="id-ID"/>
        </w:rPr>
        <w:instrText>ADDIN CSL_CITATION {"citationItems":[{"id":"ITEM-1","itemData":{"DOI":"10.55681/economina.v2i2.322","abstract":"Penelitian ini menggunakan pendekatan penelitian kuantitatif dan bertujuan untuk mengestimasi dan menguji pengaruh leverage dan ukuran perusahaan terhadap tax avoidance pada perusahaan property dan real estate yang terdaftar di Bursa Efek Indonesia. Populasi pada penelitian ini adalah seluruh perusahaan property dan real estate yang terdaftar di Bursa Efek Indonesia periode 2017-2021. Teknik pengambilan sampel pada penelitian ini menggunakan metode puposive sampling dengan kriteria yang sudah ditetapkan, diperoleh 37 perusahaan selama 5 tahun sehingga total sampel dalam penelitian ini berjumlah 185 data. Jenis data yang digunakan merupakan data sekunder yang diperoleh dari laporan keuangan tahunan perusahaan pada periode 2017-2021. Hasil penelitian ini menunjukkan bahwa secara parsial variabel leverage berpengaruh negatif dan signifikan terhadap tax avoidance sedangkan variabel ukuran perusahaan tidak berpengaruh terhadap tax avoidance. Dan secara simultan variabel leverage dan ukuran perusahaan berpengaruh positif dan signifikan terhadap tax avoidance.","author":[{"dropping-particle":"","family":"Agustina","given":"Irene","non-dropping-particle":"","parse-names":false,"suffix":""},{"dropping-particle":"","family":"Eprianto","given":"Idel","non-dropping-particle":"","parse-names":false,"suffix":""},{"dropping-particle":"","family":"Pramukty","given":"Rachmat","non-dropping-particle":"","parse-names":false,"suffix":""}],"container-title":"Jurnal Economina","id":"ITEM-1","issue":"2","issued":{"date-parts":[["2023"]]},"page":"464-475","title":"Pengaruh Leverage Dan Ukuran Perusahaan Terhadap Tax Avoidance Pada Perusahaan Property Dan Real Estate Yang Terdaftar Di Bursa Efek Indonesia (Bei) Periode Tahun 2017 - 2021","type":"article-journal","volume":"2"},"uris":["http://www.mendeley.com/documents/?uuid=4cda3fe3-3fb6-491d-92c4-41c5e8f13800"]}],"mendeley":{"formattedCitation":"(Agustina, Eprianto, and Pramukty 2023)","manualFormatting":"(Agustina, Eprianto, and Pramukty 2023:465)","plainTextFormattedCitation":"(Agustina, Eprianto, and Pramukty 2023)","previouslyFormattedCitation":"(Agustina, Eprianto, and Pramukty 2023)"},"properties":{"noteIndex":0},"schema":"https://github.com/citation-style-language/schema/raw/master/csl-citation.json"}</w:instrText>
      </w:r>
      <w:r w:rsidRPr="002C77A6">
        <w:rPr>
          <w:rFonts w:ascii="Times New Roman" w:hAnsi="Times New Roman" w:cs="Times New Roman"/>
          <w:noProof/>
          <w:sz w:val="24"/>
          <w:szCs w:val="24"/>
          <w:lang w:val="id-ID"/>
        </w:rPr>
        <w:fldChar w:fldCharType="separate"/>
      </w:r>
      <w:r w:rsidRPr="002C77A6">
        <w:rPr>
          <w:rFonts w:ascii="Times New Roman" w:hAnsi="Times New Roman" w:cs="Times New Roman"/>
          <w:noProof/>
          <w:sz w:val="24"/>
          <w:szCs w:val="24"/>
          <w:lang w:val="id-ID"/>
        </w:rPr>
        <w:t>(Agustina, Eprianto, and Pramukty 2023:465)</w:t>
      </w:r>
      <w:r w:rsidRPr="002C77A6">
        <w:rPr>
          <w:rFonts w:ascii="Times New Roman" w:hAnsi="Times New Roman" w:cs="Times New Roman"/>
          <w:noProof/>
          <w:sz w:val="24"/>
          <w:szCs w:val="24"/>
          <w:lang w:val="id-ID"/>
        </w:rPr>
        <w:fldChar w:fldCharType="end"/>
      </w:r>
      <w:r w:rsidRPr="002C77A6">
        <w:rPr>
          <w:rFonts w:ascii="Times New Roman" w:hAnsi="Times New Roman" w:cs="Times New Roman"/>
          <w:noProof/>
          <w:sz w:val="24"/>
          <w:szCs w:val="24"/>
          <w:lang w:val="id-ID"/>
        </w:rPr>
        <w:t xml:space="preserve"> berpendapat lagi bahwa karena perbedaan kepentingan tersebut, wajib pajak lebih cenderung melakukan kegiatan </w:t>
      </w:r>
      <w:r w:rsidRPr="002C77A6">
        <w:rPr>
          <w:rFonts w:ascii="Times New Roman" w:hAnsi="Times New Roman" w:cs="Times New Roman"/>
          <w:i/>
          <w:noProof/>
          <w:sz w:val="24"/>
          <w:szCs w:val="24"/>
          <w:lang w:val="id-ID"/>
        </w:rPr>
        <w:t>Tax Acoidance</w:t>
      </w:r>
      <w:r w:rsidRPr="002C77A6">
        <w:rPr>
          <w:rFonts w:ascii="Times New Roman" w:hAnsi="Times New Roman" w:cs="Times New Roman"/>
          <w:noProof/>
          <w:sz w:val="24"/>
          <w:szCs w:val="24"/>
          <w:lang w:val="id-ID"/>
        </w:rPr>
        <w:t xml:space="preserve"> guna mengurangi pembayaran pajak. Yang di mana pengelakkan pajak bisa dilakukan dengan cara penghindaran pajak (</w:t>
      </w:r>
      <w:r w:rsidRPr="002C77A6">
        <w:rPr>
          <w:rFonts w:ascii="Times New Roman" w:hAnsi="Times New Roman" w:cs="Times New Roman"/>
          <w:i/>
          <w:noProof/>
          <w:sz w:val="24"/>
          <w:szCs w:val="24"/>
          <w:lang w:val="id-ID"/>
        </w:rPr>
        <w:t>tax avoidance</w:t>
      </w:r>
      <w:r w:rsidRPr="002C77A6">
        <w:rPr>
          <w:rFonts w:ascii="Times New Roman" w:hAnsi="Times New Roman" w:cs="Times New Roman"/>
          <w:noProof/>
          <w:sz w:val="24"/>
          <w:szCs w:val="24"/>
          <w:lang w:val="id-ID"/>
        </w:rPr>
        <w:t>) dan penggelapan pajak (</w:t>
      </w:r>
      <w:r w:rsidRPr="002C77A6">
        <w:rPr>
          <w:rFonts w:ascii="Times New Roman" w:hAnsi="Times New Roman" w:cs="Times New Roman"/>
          <w:i/>
          <w:noProof/>
          <w:sz w:val="24"/>
          <w:szCs w:val="24"/>
          <w:lang w:val="id-ID"/>
        </w:rPr>
        <w:t>tax evasion</w:t>
      </w:r>
      <w:r w:rsidRPr="002C77A6">
        <w:rPr>
          <w:rFonts w:ascii="Times New Roman" w:hAnsi="Times New Roman" w:cs="Times New Roman"/>
          <w:noProof/>
          <w:sz w:val="24"/>
          <w:szCs w:val="24"/>
          <w:lang w:val="id-ID"/>
        </w:rPr>
        <w:t xml:space="preserve">). </w:t>
      </w:r>
    </w:p>
    <w:p w14:paraId="5C5289AD"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sz w:val="24"/>
          <w:szCs w:val="24"/>
        </w:rPr>
      </w:pPr>
      <w:r w:rsidRPr="002C77A6">
        <w:rPr>
          <w:rFonts w:ascii="Times New Roman" w:hAnsi="Times New Roman" w:cs="Times New Roman"/>
          <w:sz w:val="24"/>
          <w:szCs w:val="24"/>
        </w:rPr>
        <w:t>Beberapa tahun lalu pertumbuhan ekonomi Indonesia sedang terpuruk</w:t>
      </w:r>
      <w:r w:rsidRPr="002C77A6">
        <w:rPr>
          <w:rFonts w:ascii="Times New Roman" w:hAnsi="Times New Roman" w:cs="Times New Roman"/>
          <w:spacing w:val="1"/>
          <w:sz w:val="24"/>
          <w:szCs w:val="24"/>
        </w:rPr>
        <w:t xml:space="preserve"> </w:t>
      </w:r>
      <w:r w:rsidRPr="002C77A6">
        <w:rPr>
          <w:rFonts w:ascii="Times New Roman" w:hAnsi="Times New Roman" w:cs="Times New Roman"/>
          <w:sz w:val="24"/>
          <w:szCs w:val="24"/>
        </w:rPr>
        <w:t>karena</w:t>
      </w:r>
      <w:r w:rsidRPr="002C77A6">
        <w:rPr>
          <w:rFonts w:ascii="Times New Roman" w:hAnsi="Times New Roman" w:cs="Times New Roman"/>
          <w:spacing w:val="-14"/>
          <w:sz w:val="24"/>
          <w:szCs w:val="24"/>
        </w:rPr>
        <w:t xml:space="preserve"> </w:t>
      </w:r>
      <w:r w:rsidRPr="002C77A6">
        <w:rPr>
          <w:rFonts w:ascii="Times New Roman" w:hAnsi="Times New Roman" w:cs="Times New Roman"/>
          <w:sz w:val="24"/>
          <w:szCs w:val="24"/>
        </w:rPr>
        <w:t>imbas</w:t>
      </w:r>
      <w:r w:rsidRPr="002C77A6">
        <w:rPr>
          <w:rFonts w:ascii="Times New Roman" w:hAnsi="Times New Roman" w:cs="Times New Roman"/>
          <w:spacing w:val="-14"/>
          <w:sz w:val="24"/>
          <w:szCs w:val="24"/>
        </w:rPr>
        <w:t xml:space="preserve"> </w:t>
      </w:r>
      <w:r w:rsidRPr="002C77A6">
        <w:rPr>
          <w:rFonts w:ascii="Times New Roman" w:hAnsi="Times New Roman" w:cs="Times New Roman"/>
          <w:sz w:val="24"/>
          <w:szCs w:val="24"/>
        </w:rPr>
        <w:t>dari</w:t>
      </w:r>
      <w:r w:rsidRPr="002C77A6">
        <w:rPr>
          <w:rFonts w:ascii="Times New Roman" w:hAnsi="Times New Roman" w:cs="Times New Roman"/>
          <w:spacing w:val="-8"/>
          <w:sz w:val="24"/>
          <w:szCs w:val="24"/>
        </w:rPr>
        <w:t xml:space="preserve"> </w:t>
      </w:r>
      <w:r w:rsidRPr="002C77A6">
        <w:rPr>
          <w:rFonts w:ascii="Times New Roman" w:hAnsi="Times New Roman" w:cs="Times New Roman"/>
          <w:sz w:val="24"/>
          <w:szCs w:val="24"/>
        </w:rPr>
        <w:t>peristiwa</w:t>
      </w:r>
      <w:r w:rsidRPr="002C77A6">
        <w:rPr>
          <w:rFonts w:ascii="Times New Roman" w:hAnsi="Times New Roman" w:cs="Times New Roman"/>
          <w:spacing w:val="-15"/>
          <w:sz w:val="24"/>
          <w:szCs w:val="24"/>
        </w:rPr>
        <w:t xml:space="preserve"> </w:t>
      </w:r>
      <w:r w:rsidRPr="002C77A6">
        <w:rPr>
          <w:rFonts w:ascii="Times New Roman" w:hAnsi="Times New Roman" w:cs="Times New Roman"/>
          <w:sz w:val="24"/>
          <w:szCs w:val="24"/>
        </w:rPr>
        <w:t>global</w:t>
      </w:r>
      <w:r w:rsidRPr="002C77A6">
        <w:rPr>
          <w:rFonts w:ascii="Times New Roman" w:hAnsi="Times New Roman" w:cs="Times New Roman"/>
          <w:spacing w:val="-11"/>
          <w:sz w:val="24"/>
          <w:szCs w:val="24"/>
        </w:rPr>
        <w:t xml:space="preserve"> </w:t>
      </w:r>
      <w:r w:rsidRPr="002C77A6">
        <w:rPr>
          <w:rFonts w:ascii="Times New Roman" w:hAnsi="Times New Roman" w:cs="Times New Roman"/>
          <w:sz w:val="24"/>
          <w:szCs w:val="24"/>
        </w:rPr>
        <w:t>yaitu</w:t>
      </w:r>
      <w:r w:rsidRPr="002C77A6">
        <w:rPr>
          <w:rFonts w:ascii="Times New Roman" w:hAnsi="Times New Roman" w:cs="Times New Roman"/>
          <w:spacing w:val="-11"/>
          <w:sz w:val="24"/>
          <w:szCs w:val="24"/>
        </w:rPr>
        <w:t xml:space="preserve"> </w:t>
      </w:r>
      <w:r w:rsidRPr="002C77A6">
        <w:rPr>
          <w:rFonts w:ascii="Times New Roman" w:hAnsi="Times New Roman" w:cs="Times New Roman"/>
          <w:sz w:val="24"/>
          <w:szCs w:val="24"/>
        </w:rPr>
        <w:t>pandemi</w:t>
      </w:r>
      <w:r w:rsidRPr="002C77A6">
        <w:rPr>
          <w:rFonts w:ascii="Times New Roman" w:hAnsi="Times New Roman" w:cs="Times New Roman"/>
          <w:spacing w:val="-11"/>
          <w:sz w:val="24"/>
          <w:szCs w:val="24"/>
        </w:rPr>
        <w:t xml:space="preserve"> </w:t>
      </w:r>
      <w:r w:rsidRPr="002C77A6">
        <w:rPr>
          <w:rFonts w:ascii="Times New Roman" w:hAnsi="Times New Roman" w:cs="Times New Roman"/>
          <w:i/>
          <w:sz w:val="24"/>
          <w:szCs w:val="24"/>
        </w:rPr>
        <w:t>COVID</w:t>
      </w:r>
      <w:r w:rsidRPr="002C77A6">
        <w:rPr>
          <w:rFonts w:ascii="Times New Roman" w:hAnsi="Times New Roman" w:cs="Times New Roman"/>
          <w:sz w:val="24"/>
          <w:szCs w:val="24"/>
        </w:rPr>
        <w:t>, semua perusahaan mengalami kerugian sehingga laba yang didapatkan o</w:t>
      </w:r>
      <w:r w:rsidRPr="002C77A6">
        <w:rPr>
          <w:rFonts w:ascii="Times New Roman" w:hAnsi="Times New Roman" w:cs="Times New Roman"/>
          <w:sz w:val="24"/>
          <w:szCs w:val="24"/>
          <w:lang w:val="id-ID"/>
        </w:rPr>
        <w:t>leh perusahaan tidak sesuai target. Hal inipun berdampak pada pemungutan pajak</w:t>
      </w:r>
      <w:r w:rsidRPr="002C77A6">
        <w:rPr>
          <w:rFonts w:ascii="Times New Roman" w:hAnsi="Times New Roman" w:cs="Times New Roman"/>
          <w:sz w:val="24"/>
          <w:szCs w:val="24"/>
        </w:rPr>
        <w:t xml:space="preserve"> khususnya dari tahun 201</w:t>
      </w:r>
      <w:r w:rsidRPr="002C77A6">
        <w:rPr>
          <w:rFonts w:ascii="Times New Roman" w:hAnsi="Times New Roman" w:cs="Times New Roman"/>
          <w:sz w:val="24"/>
          <w:szCs w:val="24"/>
          <w:lang w:val="id-ID"/>
        </w:rPr>
        <w:t>8</w:t>
      </w:r>
      <w:r w:rsidRPr="002C77A6">
        <w:rPr>
          <w:rFonts w:ascii="Times New Roman" w:hAnsi="Times New Roman" w:cs="Times New Roman"/>
          <w:sz w:val="24"/>
          <w:szCs w:val="24"/>
        </w:rPr>
        <w:t>-202</w:t>
      </w:r>
      <w:r w:rsidRPr="002C77A6">
        <w:rPr>
          <w:rFonts w:ascii="Times New Roman" w:hAnsi="Times New Roman" w:cs="Times New Roman"/>
          <w:sz w:val="24"/>
          <w:szCs w:val="24"/>
          <w:lang w:val="id-ID"/>
        </w:rPr>
        <w:t>0</w:t>
      </w:r>
      <w:r w:rsidRPr="002C77A6">
        <w:rPr>
          <w:rFonts w:ascii="Times New Roman" w:hAnsi="Times New Roman" w:cs="Times New Roman"/>
          <w:sz w:val="24"/>
          <w:szCs w:val="24"/>
        </w:rPr>
        <w:t>, realisasi penerimaan pajak tidak menjangkau target. Informasi tersebut dapat dilihat di situs CNBC Indonesia yang dicantumkan di Tabel di bawah ini.</w:t>
      </w:r>
    </w:p>
    <w:p w14:paraId="65788AA3" w14:textId="77777777" w:rsidR="00043799" w:rsidRPr="002C77A6" w:rsidRDefault="00043799" w:rsidP="00043799">
      <w:pPr>
        <w:shd w:val="clear" w:color="auto" w:fill="FFFFFF" w:themeFill="background1"/>
        <w:spacing w:after="0" w:line="360" w:lineRule="auto"/>
        <w:ind w:left="426" w:firstLine="360"/>
        <w:jc w:val="center"/>
        <w:rPr>
          <w:rFonts w:ascii="Times New Roman" w:hAnsi="Times New Roman" w:cs="Times New Roman"/>
          <w:b/>
          <w:sz w:val="24"/>
          <w:szCs w:val="24"/>
          <w:lang w:val="id-ID"/>
        </w:rPr>
      </w:pPr>
      <w:r w:rsidRPr="002C77A6">
        <w:rPr>
          <w:rFonts w:ascii="Times New Roman" w:hAnsi="Times New Roman" w:cs="Times New Roman"/>
          <w:b/>
          <w:sz w:val="24"/>
          <w:szCs w:val="24"/>
          <w:lang w:val="id-ID"/>
        </w:rPr>
        <w:t>Tabel 1.2</w:t>
      </w:r>
    </w:p>
    <w:p w14:paraId="5C6B726B" w14:textId="77777777" w:rsidR="00043799" w:rsidRPr="002C77A6" w:rsidRDefault="00043799" w:rsidP="00043799">
      <w:pPr>
        <w:shd w:val="clear" w:color="auto" w:fill="FFFFFF" w:themeFill="background1"/>
        <w:spacing w:after="0" w:line="360" w:lineRule="auto"/>
        <w:ind w:left="426" w:firstLine="360"/>
        <w:jc w:val="center"/>
        <w:rPr>
          <w:rFonts w:ascii="Times New Roman" w:hAnsi="Times New Roman" w:cs="Times New Roman"/>
          <w:b/>
          <w:sz w:val="24"/>
          <w:szCs w:val="24"/>
          <w:lang w:val="id-ID"/>
        </w:rPr>
      </w:pPr>
      <w:r w:rsidRPr="002C77A6">
        <w:rPr>
          <w:rFonts w:ascii="Times New Roman" w:hAnsi="Times New Roman" w:cs="Times New Roman"/>
          <w:b/>
          <w:sz w:val="24"/>
          <w:szCs w:val="24"/>
          <w:lang w:val="id-ID"/>
        </w:rPr>
        <w:t>Efektivitas Pemungutan Pajak Di Indonesia Tahun 2018-2022</w:t>
      </w:r>
    </w:p>
    <w:tbl>
      <w:tblPr>
        <w:tblStyle w:val="TableGrid"/>
        <w:tblW w:w="7443"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1134"/>
        <w:gridCol w:w="992"/>
        <w:gridCol w:w="1276"/>
        <w:gridCol w:w="1005"/>
        <w:gridCol w:w="1134"/>
      </w:tblGrid>
      <w:tr w:rsidR="00043799" w:rsidRPr="002C77A6" w14:paraId="7FD29871" w14:textId="77777777" w:rsidTr="00144983">
        <w:trPr>
          <w:jc w:val="right"/>
        </w:trPr>
        <w:tc>
          <w:tcPr>
            <w:tcW w:w="1902" w:type="dxa"/>
            <w:tcBorders>
              <w:top w:val="single" w:sz="4" w:space="0" w:color="auto"/>
              <w:bottom w:val="single" w:sz="4" w:space="0" w:color="auto"/>
            </w:tcBorders>
          </w:tcPr>
          <w:p w14:paraId="21115F98"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Tahun</w:t>
            </w:r>
          </w:p>
        </w:tc>
        <w:tc>
          <w:tcPr>
            <w:tcW w:w="1134" w:type="dxa"/>
            <w:tcBorders>
              <w:top w:val="single" w:sz="4" w:space="0" w:color="auto"/>
              <w:bottom w:val="single" w:sz="4" w:space="0" w:color="auto"/>
            </w:tcBorders>
          </w:tcPr>
          <w:p w14:paraId="328D1333"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2018</w:t>
            </w:r>
          </w:p>
        </w:tc>
        <w:tc>
          <w:tcPr>
            <w:tcW w:w="992" w:type="dxa"/>
            <w:tcBorders>
              <w:top w:val="single" w:sz="4" w:space="0" w:color="auto"/>
              <w:bottom w:val="single" w:sz="4" w:space="0" w:color="auto"/>
            </w:tcBorders>
          </w:tcPr>
          <w:p w14:paraId="69266238"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2019</w:t>
            </w:r>
          </w:p>
        </w:tc>
        <w:tc>
          <w:tcPr>
            <w:tcW w:w="1276" w:type="dxa"/>
            <w:tcBorders>
              <w:top w:val="single" w:sz="4" w:space="0" w:color="auto"/>
              <w:bottom w:val="single" w:sz="4" w:space="0" w:color="auto"/>
            </w:tcBorders>
          </w:tcPr>
          <w:p w14:paraId="0092DE42"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2020</w:t>
            </w:r>
          </w:p>
        </w:tc>
        <w:tc>
          <w:tcPr>
            <w:tcW w:w="1005" w:type="dxa"/>
            <w:tcBorders>
              <w:top w:val="single" w:sz="4" w:space="0" w:color="auto"/>
              <w:bottom w:val="single" w:sz="4" w:space="0" w:color="auto"/>
            </w:tcBorders>
          </w:tcPr>
          <w:p w14:paraId="1D652A46"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2021</w:t>
            </w:r>
          </w:p>
        </w:tc>
        <w:tc>
          <w:tcPr>
            <w:tcW w:w="1134" w:type="dxa"/>
            <w:tcBorders>
              <w:top w:val="single" w:sz="4" w:space="0" w:color="auto"/>
              <w:bottom w:val="single" w:sz="4" w:space="0" w:color="auto"/>
            </w:tcBorders>
          </w:tcPr>
          <w:p w14:paraId="4D137DEC"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2022</w:t>
            </w:r>
          </w:p>
        </w:tc>
      </w:tr>
      <w:tr w:rsidR="00043799" w:rsidRPr="002C77A6" w14:paraId="3B413A45" w14:textId="77777777" w:rsidTr="00144983">
        <w:trPr>
          <w:jc w:val="right"/>
        </w:trPr>
        <w:tc>
          <w:tcPr>
            <w:tcW w:w="1902" w:type="dxa"/>
            <w:tcBorders>
              <w:top w:val="single" w:sz="4" w:space="0" w:color="auto"/>
              <w:bottom w:val="single" w:sz="4" w:space="0" w:color="auto"/>
            </w:tcBorders>
          </w:tcPr>
          <w:p w14:paraId="4D2F1725" w14:textId="77777777" w:rsidR="00043799" w:rsidRPr="002C77A6" w:rsidRDefault="00043799" w:rsidP="00144983">
            <w:pPr>
              <w:shd w:val="clear" w:color="auto" w:fill="FFFFFF" w:themeFill="background1"/>
              <w:spacing w:line="360" w:lineRule="auto"/>
              <w:rPr>
                <w:rFonts w:ascii="Times New Roman" w:hAnsi="Times New Roman" w:cs="Times New Roman"/>
                <w:noProof/>
                <w:lang w:val="id-ID"/>
              </w:rPr>
            </w:pPr>
            <w:r w:rsidRPr="002C77A6">
              <w:rPr>
                <w:rFonts w:ascii="Times New Roman" w:hAnsi="Times New Roman" w:cs="Times New Roman"/>
                <w:noProof/>
                <w:lang w:val="id-ID"/>
              </w:rPr>
              <w:t>Target</w:t>
            </w:r>
          </w:p>
          <w:p w14:paraId="2297B618" w14:textId="77777777" w:rsidR="00043799" w:rsidRPr="002C77A6" w:rsidRDefault="00043799" w:rsidP="00144983">
            <w:pPr>
              <w:shd w:val="clear" w:color="auto" w:fill="FFFFFF" w:themeFill="background1"/>
              <w:spacing w:line="360" w:lineRule="auto"/>
              <w:rPr>
                <w:rFonts w:ascii="Times New Roman" w:hAnsi="Times New Roman" w:cs="Times New Roman"/>
                <w:noProof/>
                <w:lang w:val="id-ID"/>
              </w:rPr>
            </w:pPr>
            <w:r w:rsidRPr="002C77A6">
              <w:rPr>
                <w:rFonts w:ascii="Times New Roman" w:hAnsi="Times New Roman" w:cs="Times New Roman"/>
                <w:noProof/>
                <w:lang w:val="id-ID"/>
              </w:rPr>
              <w:t>(Triliun Rupiah)</w:t>
            </w:r>
          </w:p>
        </w:tc>
        <w:tc>
          <w:tcPr>
            <w:tcW w:w="1134" w:type="dxa"/>
            <w:tcBorders>
              <w:top w:val="single" w:sz="4" w:space="0" w:color="auto"/>
              <w:bottom w:val="single" w:sz="4" w:space="0" w:color="auto"/>
            </w:tcBorders>
            <w:vAlign w:val="center"/>
          </w:tcPr>
          <w:p w14:paraId="31316D6B"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1.424</w:t>
            </w:r>
          </w:p>
        </w:tc>
        <w:tc>
          <w:tcPr>
            <w:tcW w:w="992" w:type="dxa"/>
            <w:tcBorders>
              <w:top w:val="single" w:sz="4" w:space="0" w:color="auto"/>
              <w:bottom w:val="single" w:sz="4" w:space="0" w:color="auto"/>
            </w:tcBorders>
            <w:vAlign w:val="center"/>
          </w:tcPr>
          <w:p w14:paraId="503F6C46"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1.577,6</w:t>
            </w:r>
          </w:p>
        </w:tc>
        <w:tc>
          <w:tcPr>
            <w:tcW w:w="1276" w:type="dxa"/>
            <w:tcBorders>
              <w:top w:val="single" w:sz="4" w:space="0" w:color="auto"/>
              <w:bottom w:val="single" w:sz="4" w:space="0" w:color="auto"/>
            </w:tcBorders>
            <w:vAlign w:val="center"/>
          </w:tcPr>
          <w:p w14:paraId="2C29A16F"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1.198,8</w:t>
            </w:r>
          </w:p>
        </w:tc>
        <w:tc>
          <w:tcPr>
            <w:tcW w:w="1005" w:type="dxa"/>
            <w:tcBorders>
              <w:top w:val="single" w:sz="4" w:space="0" w:color="auto"/>
              <w:bottom w:val="single" w:sz="4" w:space="0" w:color="auto"/>
            </w:tcBorders>
            <w:vAlign w:val="center"/>
          </w:tcPr>
          <w:p w14:paraId="5422D74B"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1.229,6</w:t>
            </w:r>
          </w:p>
        </w:tc>
        <w:tc>
          <w:tcPr>
            <w:tcW w:w="1134" w:type="dxa"/>
            <w:tcBorders>
              <w:top w:val="single" w:sz="4" w:space="0" w:color="auto"/>
              <w:bottom w:val="single" w:sz="4" w:space="0" w:color="auto"/>
            </w:tcBorders>
            <w:vAlign w:val="center"/>
          </w:tcPr>
          <w:p w14:paraId="57AA4C62"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1.547,87</w:t>
            </w:r>
          </w:p>
        </w:tc>
      </w:tr>
      <w:tr w:rsidR="00043799" w:rsidRPr="002C77A6" w14:paraId="255BE74D" w14:textId="77777777" w:rsidTr="00144983">
        <w:trPr>
          <w:jc w:val="right"/>
        </w:trPr>
        <w:tc>
          <w:tcPr>
            <w:tcW w:w="1902" w:type="dxa"/>
            <w:tcBorders>
              <w:top w:val="single" w:sz="4" w:space="0" w:color="auto"/>
              <w:bottom w:val="single" w:sz="4" w:space="0" w:color="auto"/>
            </w:tcBorders>
          </w:tcPr>
          <w:p w14:paraId="50654DC5" w14:textId="77777777" w:rsidR="00043799" w:rsidRPr="002C77A6" w:rsidRDefault="00043799" w:rsidP="00144983">
            <w:pPr>
              <w:shd w:val="clear" w:color="auto" w:fill="FFFFFF" w:themeFill="background1"/>
              <w:spacing w:line="360" w:lineRule="auto"/>
              <w:rPr>
                <w:rFonts w:ascii="Times New Roman" w:hAnsi="Times New Roman" w:cs="Times New Roman"/>
                <w:noProof/>
                <w:lang w:val="id-ID"/>
              </w:rPr>
            </w:pPr>
          </w:p>
        </w:tc>
        <w:tc>
          <w:tcPr>
            <w:tcW w:w="1134" w:type="dxa"/>
            <w:tcBorders>
              <w:top w:val="single" w:sz="4" w:space="0" w:color="auto"/>
              <w:bottom w:val="single" w:sz="4" w:space="0" w:color="auto"/>
            </w:tcBorders>
            <w:vAlign w:val="center"/>
          </w:tcPr>
          <w:p w14:paraId="59655D33"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992" w:type="dxa"/>
            <w:tcBorders>
              <w:top w:val="single" w:sz="4" w:space="0" w:color="auto"/>
              <w:bottom w:val="single" w:sz="4" w:space="0" w:color="auto"/>
            </w:tcBorders>
            <w:vAlign w:val="center"/>
          </w:tcPr>
          <w:p w14:paraId="20B5572E"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1276" w:type="dxa"/>
            <w:tcBorders>
              <w:top w:val="single" w:sz="4" w:space="0" w:color="auto"/>
              <w:bottom w:val="single" w:sz="4" w:space="0" w:color="auto"/>
            </w:tcBorders>
            <w:vAlign w:val="center"/>
          </w:tcPr>
          <w:p w14:paraId="67DE3788"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1005" w:type="dxa"/>
            <w:tcBorders>
              <w:top w:val="single" w:sz="4" w:space="0" w:color="auto"/>
              <w:bottom w:val="single" w:sz="4" w:space="0" w:color="auto"/>
            </w:tcBorders>
            <w:vAlign w:val="center"/>
          </w:tcPr>
          <w:p w14:paraId="5305429C"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1134" w:type="dxa"/>
            <w:tcBorders>
              <w:top w:val="single" w:sz="4" w:space="0" w:color="auto"/>
              <w:bottom w:val="single" w:sz="4" w:space="0" w:color="auto"/>
            </w:tcBorders>
            <w:vAlign w:val="center"/>
          </w:tcPr>
          <w:p w14:paraId="0BD92B39"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r>
      <w:tr w:rsidR="00043799" w:rsidRPr="002C77A6" w14:paraId="777F03E1" w14:textId="77777777" w:rsidTr="00144983">
        <w:trPr>
          <w:jc w:val="right"/>
        </w:trPr>
        <w:tc>
          <w:tcPr>
            <w:tcW w:w="1902" w:type="dxa"/>
            <w:tcBorders>
              <w:top w:val="single" w:sz="4" w:space="0" w:color="auto"/>
              <w:bottom w:val="single" w:sz="4" w:space="0" w:color="auto"/>
            </w:tcBorders>
          </w:tcPr>
          <w:p w14:paraId="51C53449" w14:textId="77777777" w:rsidR="00043799" w:rsidRPr="002C77A6" w:rsidRDefault="00043799" w:rsidP="00144983">
            <w:pPr>
              <w:shd w:val="clear" w:color="auto" w:fill="FFFFFF" w:themeFill="background1"/>
              <w:spacing w:line="360" w:lineRule="auto"/>
              <w:rPr>
                <w:rFonts w:ascii="Times New Roman" w:hAnsi="Times New Roman" w:cs="Times New Roman"/>
                <w:noProof/>
                <w:lang w:val="id-ID"/>
              </w:rPr>
            </w:pPr>
            <w:r w:rsidRPr="002C77A6">
              <w:rPr>
                <w:rFonts w:ascii="Times New Roman" w:hAnsi="Times New Roman" w:cs="Times New Roman"/>
                <w:noProof/>
                <w:lang w:val="id-ID"/>
              </w:rPr>
              <w:t>Tahun</w:t>
            </w:r>
          </w:p>
        </w:tc>
        <w:tc>
          <w:tcPr>
            <w:tcW w:w="1134" w:type="dxa"/>
            <w:tcBorders>
              <w:top w:val="single" w:sz="4" w:space="0" w:color="auto"/>
              <w:bottom w:val="single" w:sz="4" w:space="0" w:color="auto"/>
            </w:tcBorders>
            <w:vAlign w:val="center"/>
          </w:tcPr>
          <w:p w14:paraId="1573C105"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992" w:type="dxa"/>
            <w:tcBorders>
              <w:top w:val="single" w:sz="4" w:space="0" w:color="auto"/>
              <w:bottom w:val="single" w:sz="4" w:space="0" w:color="auto"/>
            </w:tcBorders>
            <w:vAlign w:val="center"/>
          </w:tcPr>
          <w:p w14:paraId="14C090E5"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1276" w:type="dxa"/>
            <w:tcBorders>
              <w:top w:val="single" w:sz="4" w:space="0" w:color="auto"/>
              <w:bottom w:val="single" w:sz="4" w:space="0" w:color="auto"/>
            </w:tcBorders>
            <w:vAlign w:val="center"/>
          </w:tcPr>
          <w:p w14:paraId="3A835DE2"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1005" w:type="dxa"/>
            <w:tcBorders>
              <w:top w:val="single" w:sz="4" w:space="0" w:color="auto"/>
              <w:bottom w:val="single" w:sz="4" w:space="0" w:color="auto"/>
            </w:tcBorders>
            <w:vAlign w:val="center"/>
          </w:tcPr>
          <w:p w14:paraId="5CB585E2"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c>
          <w:tcPr>
            <w:tcW w:w="1134" w:type="dxa"/>
            <w:tcBorders>
              <w:top w:val="single" w:sz="4" w:space="0" w:color="auto"/>
              <w:bottom w:val="single" w:sz="4" w:space="0" w:color="auto"/>
            </w:tcBorders>
            <w:vAlign w:val="center"/>
          </w:tcPr>
          <w:p w14:paraId="3ADE26B0"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p>
        </w:tc>
      </w:tr>
      <w:tr w:rsidR="00043799" w:rsidRPr="002C77A6" w14:paraId="5D26096E" w14:textId="77777777" w:rsidTr="00144983">
        <w:trPr>
          <w:jc w:val="right"/>
        </w:trPr>
        <w:tc>
          <w:tcPr>
            <w:tcW w:w="1902" w:type="dxa"/>
            <w:tcBorders>
              <w:top w:val="single" w:sz="4" w:space="0" w:color="auto"/>
            </w:tcBorders>
          </w:tcPr>
          <w:p w14:paraId="5EC4B5B0" w14:textId="77777777" w:rsidR="00043799" w:rsidRPr="002C77A6" w:rsidRDefault="00043799" w:rsidP="00144983">
            <w:pPr>
              <w:shd w:val="clear" w:color="auto" w:fill="FFFFFF" w:themeFill="background1"/>
              <w:spacing w:line="360" w:lineRule="auto"/>
              <w:rPr>
                <w:rFonts w:ascii="Times New Roman" w:hAnsi="Times New Roman" w:cs="Times New Roman"/>
                <w:noProof/>
                <w:lang w:val="id-ID"/>
              </w:rPr>
            </w:pPr>
            <w:r w:rsidRPr="002C77A6">
              <w:rPr>
                <w:rFonts w:ascii="Times New Roman" w:hAnsi="Times New Roman" w:cs="Times New Roman"/>
                <w:noProof/>
                <w:lang w:val="id-ID"/>
              </w:rPr>
              <w:lastRenderedPageBreak/>
              <w:t>Realisasi (Triliun Rupiah)</w:t>
            </w:r>
          </w:p>
        </w:tc>
        <w:tc>
          <w:tcPr>
            <w:tcW w:w="1134" w:type="dxa"/>
            <w:tcBorders>
              <w:top w:val="single" w:sz="4" w:space="0" w:color="auto"/>
            </w:tcBorders>
            <w:vAlign w:val="center"/>
          </w:tcPr>
          <w:p w14:paraId="3B7B10F5"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1.315,9</w:t>
            </w:r>
          </w:p>
        </w:tc>
        <w:tc>
          <w:tcPr>
            <w:tcW w:w="992" w:type="dxa"/>
            <w:tcBorders>
              <w:top w:val="single" w:sz="4" w:space="0" w:color="auto"/>
            </w:tcBorders>
            <w:vAlign w:val="center"/>
          </w:tcPr>
          <w:p w14:paraId="7B464FAE"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1.332,1</w:t>
            </w:r>
          </w:p>
        </w:tc>
        <w:tc>
          <w:tcPr>
            <w:tcW w:w="1276" w:type="dxa"/>
            <w:tcBorders>
              <w:top w:val="single" w:sz="4" w:space="0" w:color="auto"/>
            </w:tcBorders>
            <w:vAlign w:val="center"/>
          </w:tcPr>
          <w:p w14:paraId="536BCDC1"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1.069,98</w:t>
            </w:r>
          </w:p>
        </w:tc>
        <w:tc>
          <w:tcPr>
            <w:tcW w:w="1005" w:type="dxa"/>
            <w:tcBorders>
              <w:top w:val="single" w:sz="4" w:space="0" w:color="auto"/>
            </w:tcBorders>
            <w:vAlign w:val="center"/>
          </w:tcPr>
          <w:p w14:paraId="69C15594"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1.231,87</w:t>
            </w:r>
          </w:p>
        </w:tc>
        <w:tc>
          <w:tcPr>
            <w:tcW w:w="1134" w:type="dxa"/>
            <w:tcBorders>
              <w:top w:val="single" w:sz="4" w:space="0" w:color="auto"/>
            </w:tcBorders>
            <w:vAlign w:val="center"/>
          </w:tcPr>
          <w:p w14:paraId="38FD0142"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1.716,8</w:t>
            </w:r>
          </w:p>
        </w:tc>
      </w:tr>
      <w:tr w:rsidR="00043799" w:rsidRPr="002C77A6" w14:paraId="1BA22965" w14:textId="77777777" w:rsidTr="00144983">
        <w:trPr>
          <w:jc w:val="right"/>
        </w:trPr>
        <w:tc>
          <w:tcPr>
            <w:tcW w:w="1902" w:type="dxa"/>
          </w:tcPr>
          <w:p w14:paraId="1744B39B" w14:textId="77777777" w:rsidR="00043799" w:rsidRPr="002C77A6" w:rsidRDefault="00043799" w:rsidP="00144983">
            <w:pPr>
              <w:shd w:val="clear" w:color="auto" w:fill="FFFFFF" w:themeFill="background1"/>
              <w:spacing w:line="360" w:lineRule="auto"/>
              <w:rPr>
                <w:rFonts w:ascii="Times New Roman" w:hAnsi="Times New Roman" w:cs="Times New Roman"/>
                <w:noProof/>
                <w:lang w:val="id-ID"/>
              </w:rPr>
            </w:pPr>
            <w:r w:rsidRPr="002C77A6">
              <w:rPr>
                <w:rFonts w:ascii="Times New Roman" w:hAnsi="Times New Roman" w:cs="Times New Roman"/>
                <w:noProof/>
                <w:lang w:val="id-ID"/>
              </w:rPr>
              <w:t>Efektivitas Pemungutan Pajak</w:t>
            </w:r>
          </w:p>
        </w:tc>
        <w:tc>
          <w:tcPr>
            <w:tcW w:w="1134" w:type="dxa"/>
            <w:vAlign w:val="center"/>
          </w:tcPr>
          <w:p w14:paraId="41AAF156"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92%</w:t>
            </w:r>
          </w:p>
        </w:tc>
        <w:tc>
          <w:tcPr>
            <w:tcW w:w="992" w:type="dxa"/>
            <w:vAlign w:val="center"/>
          </w:tcPr>
          <w:p w14:paraId="55F95AA4"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84,4%</w:t>
            </w:r>
          </w:p>
        </w:tc>
        <w:tc>
          <w:tcPr>
            <w:tcW w:w="1276" w:type="dxa"/>
            <w:vAlign w:val="center"/>
          </w:tcPr>
          <w:p w14:paraId="5A171CB8"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89,25%</w:t>
            </w:r>
          </w:p>
        </w:tc>
        <w:tc>
          <w:tcPr>
            <w:tcW w:w="1005" w:type="dxa"/>
            <w:vAlign w:val="center"/>
          </w:tcPr>
          <w:p w14:paraId="43B5A233"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100,19%</w:t>
            </w:r>
          </w:p>
        </w:tc>
        <w:tc>
          <w:tcPr>
            <w:tcW w:w="1134" w:type="dxa"/>
            <w:vAlign w:val="center"/>
          </w:tcPr>
          <w:p w14:paraId="2A1C52D3" w14:textId="77777777" w:rsidR="00043799" w:rsidRPr="002C77A6" w:rsidRDefault="00043799" w:rsidP="00144983">
            <w:pPr>
              <w:shd w:val="clear" w:color="auto" w:fill="FFFFFF" w:themeFill="background1"/>
              <w:spacing w:line="360" w:lineRule="auto"/>
              <w:jc w:val="center"/>
              <w:rPr>
                <w:rFonts w:ascii="Times New Roman" w:hAnsi="Times New Roman" w:cs="Times New Roman"/>
                <w:noProof/>
                <w:lang w:val="id-ID"/>
              </w:rPr>
            </w:pPr>
            <w:r w:rsidRPr="002C77A6">
              <w:rPr>
                <w:rFonts w:ascii="Times New Roman" w:hAnsi="Times New Roman" w:cs="Times New Roman"/>
                <w:noProof/>
                <w:lang w:val="id-ID"/>
              </w:rPr>
              <w:t>110,91%</w:t>
            </w:r>
          </w:p>
        </w:tc>
      </w:tr>
    </w:tbl>
    <w:p w14:paraId="371AB8C5" w14:textId="77777777" w:rsidR="00043799" w:rsidRPr="002C77A6" w:rsidRDefault="00043799" w:rsidP="00043799">
      <w:pPr>
        <w:shd w:val="clear" w:color="auto" w:fill="FFFFFF" w:themeFill="background1"/>
        <w:spacing w:line="360" w:lineRule="auto"/>
        <w:ind w:left="851" w:hanging="284"/>
        <w:jc w:val="both"/>
        <w:rPr>
          <w:rFonts w:ascii="Times New Roman" w:hAnsi="Times New Roman" w:cs="Times New Roman"/>
          <w:i/>
          <w:noProof/>
          <w:sz w:val="24"/>
          <w:szCs w:val="24"/>
          <w:lang w:val="id-ID"/>
        </w:rPr>
      </w:pPr>
      <w:r w:rsidRPr="002C77A6">
        <w:rPr>
          <w:rFonts w:ascii="Times New Roman" w:hAnsi="Times New Roman" w:cs="Times New Roman"/>
          <w:i/>
          <w:noProof/>
          <w:sz w:val="24"/>
          <w:szCs w:val="24"/>
          <w:lang w:val="id-ID"/>
        </w:rPr>
        <w:t xml:space="preserve">Sumber: </w:t>
      </w:r>
      <w:hyperlink r:id="rId13" w:history="1">
        <w:r w:rsidRPr="002C77A6">
          <w:rPr>
            <w:rStyle w:val="Hyperlink"/>
            <w:rFonts w:ascii="Times New Roman" w:hAnsi="Times New Roman" w:cs="Times New Roman"/>
            <w:i/>
            <w:noProof/>
            <w:sz w:val="24"/>
            <w:szCs w:val="24"/>
            <w:lang w:val="id-ID"/>
          </w:rPr>
          <w:t>www.cncbindonesia.com,2020</w:t>
        </w:r>
      </w:hyperlink>
    </w:p>
    <w:p w14:paraId="172F366F"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Tabel 1.2 menunjukkan bahwa efektivitas pemungutan pajak meningkat pada tahun 2021-2022 dan menurun pada tahun 2019. Pada tahun 2018, efektivitasnya pemungutan pajak adalah 92%, pada tahun 2019 84,4%, pada tahun 2020 89,25%, pada tahun 2021 100,19%, dan pada tahun 2022 110,91%. Semua warga indonesia yang wajib pajak harus membayar dan menyerahkan kewajiban pajaknya ke kas negara, baik secara pribadi atau melalui badan yang tidak menerima timbal balik secara langsung. </w:t>
      </w:r>
    </w:p>
    <w:p w14:paraId="09480423"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sz w:val="24"/>
          <w:szCs w:val="24"/>
        </w:rPr>
      </w:pPr>
      <w:r w:rsidRPr="002C77A6">
        <w:rPr>
          <w:rFonts w:ascii="Times New Roman" w:hAnsi="Times New Roman" w:cs="Times New Roman"/>
          <w:sz w:val="24"/>
          <w:szCs w:val="24"/>
          <w:lang w:val="id-ID"/>
        </w:rPr>
        <w:t xml:space="preserve">Menurut </w:t>
      </w:r>
      <w:r w:rsidRPr="002C77A6">
        <w:rPr>
          <w:rFonts w:ascii="Times New Roman" w:hAnsi="Times New Roman" w:cs="Times New Roman"/>
          <w:noProof/>
          <w:sz w:val="24"/>
          <w:szCs w:val="24"/>
          <w:lang w:val="id-ID"/>
        </w:rPr>
        <w:fldChar w:fldCharType="begin" w:fldLock="1"/>
      </w:r>
      <w:r w:rsidRPr="002C77A6">
        <w:rPr>
          <w:rFonts w:ascii="Times New Roman" w:hAnsi="Times New Roman" w:cs="Times New Roman"/>
          <w:noProof/>
          <w:sz w:val="24"/>
          <w:szCs w:val="24"/>
          <w:lang w:val="id-ID"/>
        </w:rPr>
        <w:instrText>ADDIN CSL_CITATION {"citationItems":[{"id":"ITEM-1","itemData":{"abstract":"… variable has a positive effect on tax avoidance, the leverage variable has no effect on tax … penghindaran pajak, variabel leverage tidak berpengaruh terhadap penghindaran pajak, dan …","author":[{"dropping-particle":"","family":"Sudibyo","given":"Heru Harmadi","non-dropping-particle":"","parse-names":false,"suffix":""}],"container-title":"Jurnal Akuntansi dan Manajemen Bisnis","id":"ITEM-1","issue":"1","issued":{"date-parts":[["2022"]]},"page":"78-85","title":"Pengaruh Profitabilitas, Leverage, Dan Pertumbuhan Penjualan Terhadap Penghindaran Pajak","type":"article-journal","volume":"2"},"uris":["http://www.mendeley.com/documents/?uuid=6ec0ced3-d860-4d25-a640-b2169a029318"]}],"mendeley":{"formattedCitation":"(Sudibyo 2022)","manualFormatting":"(Sudibyo, 2022:78)","plainTextFormattedCitation":"(Sudibyo 2022)","previouslyFormattedCitation":"(Sudibyo 2022)"},"properties":{"noteIndex":0},"schema":"https://github.com/citation-style-language/schema/raw/master/csl-citation.json"}</w:instrText>
      </w:r>
      <w:r w:rsidRPr="002C77A6">
        <w:rPr>
          <w:rFonts w:ascii="Times New Roman" w:hAnsi="Times New Roman" w:cs="Times New Roman"/>
          <w:noProof/>
          <w:sz w:val="24"/>
          <w:szCs w:val="24"/>
          <w:lang w:val="id-ID"/>
        </w:rPr>
        <w:fldChar w:fldCharType="separate"/>
      </w:r>
      <w:r w:rsidRPr="002C77A6">
        <w:rPr>
          <w:rFonts w:ascii="Times New Roman" w:hAnsi="Times New Roman" w:cs="Times New Roman"/>
          <w:noProof/>
          <w:sz w:val="24"/>
          <w:szCs w:val="24"/>
          <w:lang w:val="id-ID"/>
        </w:rPr>
        <w:t>(Sudibyo, 2022:78)</w:t>
      </w:r>
      <w:r w:rsidRPr="002C77A6">
        <w:rPr>
          <w:rFonts w:ascii="Times New Roman" w:hAnsi="Times New Roman" w:cs="Times New Roman"/>
          <w:noProof/>
          <w:sz w:val="24"/>
          <w:szCs w:val="24"/>
          <w:lang w:val="id-ID"/>
        </w:rPr>
        <w:fldChar w:fldCharType="end"/>
      </w:r>
      <w:r w:rsidRPr="002C77A6">
        <w:rPr>
          <w:rFonts w:ascii="Times New Roman" w:hAnsi="Times New Roman" w:cs="Times New Roman"/>
          <w:noProof/>
          <w:sz w:val="24"/>
          <w:szCs w:val="24"/>
          <w:lang w:val="id-ID"/>
        </w:rPr>
        <w:t xml:space="preserve"> </w:t>
      </w:r>
      <w:r w:rsidRPr="002C77A6">
        <w:rPr>
          <w:rFonts w:ascii="Times New Roman" w:hAnsi="Times New Roman" w:cs="Times New Roman"/>
          <w:sz w:val="24"/>
          <w:szCs w:val="24"/>
        </w:rPr>
        <w:t xml:space="preserve">Pajak </w:t>
      </w:r>
      <w:r w:rsidRPr="002C77A6">
        <w:rPr>
          <w:rFonts w:ascii="Times New Roman" w:hAnsi="Times New Roman" w:cs="Times New Roman"/>
          <w:sz w:val="24"/>
          <w:szCs w:val="24"/>
          <w:lang w:val="id-ID"/>
        </w:rPr>
        <w:t>ber</w:t>
      </w:r>
      <w:r w:rsidRPr="002C77A6">
        <w:rPr>
          <w:rFonts w:ascii="Times New Roman" w:hAnsi="Times New Roman" w:cs="Times New Roman"/>
          <w:sz w:val="24"/>
          <w:szCs w:val="24"/>
        </w:rPr>
        <w:t>kontribusi banyak kepada pendapatan negara dan kemakmuran rakyatnya, jadi harus dikelola dengan baik. Tentu saja, pemerintah akan menghadapi banyak tantangan dalam upayanya untuk mendapatkan penerimaan pajak terbaik.</w:t>
      </w:r>
      <w:r w:rsidRPr="002C77A6">
        <w:rPr>
          <w:rFonts w:ascii="Times New Roman" w:hAnsi="Times New Roman" w:cs="Times New Roman"/>
          <w:sz w:val="24"/>
          <w:szCs w:val="24"/>
          <w:lang w:val="id-ID"/>
        </w:rPr>
        <w:t xml:space="preserve"> I</w:t>
      </w:r>
      <w:r w:rsidRPr="002C77A6">
        <w:rPr>
          <w:rFonts w:ascii="Times New Roman" w:hAnsi="Times New Roman" w:cs="Times New Roman"/>
          <w:sz w:val="24"/>
          <w:szCs w:val="24"/>
        </w:rPr>
        <w:t>ni disebabkan karena adanya praktik dari wajib pajak</w:t>
      </w:r>
      <w:r w:rsidRPr="002C77A6">
        <w:rPr>
          <w:rFonts w:ascii="Times New Roman" w:hAnsi="Times New Roman" w:cs="Times New Roman"/>
          <w:sz w:val="24"/>
          <w:szCs w:val="24"/>
          <w:lang w:val="id-ID"/>
        </w:rPr>
        <w:t xml:space="preserve"> </w:t>
      </w:r>
      <w:r w:rsidRPr="002C77A6">
        <w:rPr>
          <w:rFonts w:ascii="Times New Roman" w:hAnsi="Times New Roman" w:cs="Times New Roman"/>
          <w:sz w:val="24"/>
          <w:szCs w:val="24"/>
        </w:rPr>
        <w:t xml:space="preserve">dengan cara </w:t>
      </w:r>
      <w:r w:rsidRPr="002C77A6">
        <w:rPr>
          <w:rFonts w:ascii="Times New Roman" w:hAnsi="Times New Roman" w:cs="Times New Roman"/>
          <w:i/>
          <w:sz w:val="24"/>
          <w:szCs w:val="24"/>
        </w:rPr>
        <w:t>tax evasion</w:t>
      </w:r>
      <w:r w:rsidRPr="002C77A6">
        <w:rPr>
          <w:rFonts w:ascii="Times New Roman" w:hAnsi="Times New Roman" w:cs="Times New Roman"/>
          <w:sz w:val="24"/>
          <w:szCs w:val="24"/>
        </w:rPr>
        <w:t xml:space="preserve"> dan </w:t>
      </w:r>
      <w:r w:rsidRPr="002C77A6">
        <w:rPr>
          <w:rFonts w:ascii="Times New Roman" w:hAnsi="Times New Roman" w:cs="Times New Roman"/>
          <w:i/>
          <w:sz w:val="24"/>
          <w:szCs w:val="24"/>
        </w:rPr>
        <w:t>tax avoidance</w:t>
      </w:r>
      <w:r w:rsidRPr="002C77A6">
        <w:rPr>
          <w:rFonts w:ascii="Times New Roman" w:hAnsi="Times New Roman" w:cs="Times New Roman"/>
          <w:sz w:val="24"/>
          <w:szCs w:val="24"/>
        </w:rPr>
        <w:t xml:space="preserve"> untuk meminimalkan pembayaran pajaknya</w:t>
      </w:r>
      <w:r w:rsidRPr="002C77A6">
        <w:rPr>
          <w:rFonts w:ascii="Times New Roman" w:hAnsi="Times New Roman" w:cs="Times New Roman"/>
          <w:sz w:val="24"/>
          <w:szCs w:val="24"/>
          <w:lang w:val="id-ID"/>
        </w:rPr>
        <w:t>.</w:t>
      </w:r>
      <w:r w:rsidRPr="002C77A6">
        <w:rPr>
          <w:rFonts w:ascii="Times New Roman" w:hAnsi="Times New Roman" w:cs="Times New Roman"/>
          <w:sz w:val="24"/>
          <w:szCs w:val="24"/>
        </w:rPr>
        <w:t xml:space="preserve"> </w:t>
      </w:r>
    </w:p>
    <w:p w14:paraId="2AD374F4"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noProof/>
          <w:sz w:val="24"/>
          <w:szCs w:val="24"/>
          <w:lang w:val="id-ID"/>
        </w:rPr>
      </w:pPr>
      <w:r w:rsidRPr="002C77A6">
        <w:rPr>
          <w:rFonts w:ascii="Times New Roman" w:hAnsi="Times New Roman" w:cs="Times New Roman"/>
          <w:sz w:val="24"/>
          <w:szCs w:val="24"/>
          <w:lang w:val="id-ID"/>
        </w:rPr>
        <w:t xml:space="preserve">Kemudian </w:t>
      </w:r>
      <w:r w:rsidRPr="002C77A6">
        <w:rPr>
          <w:rFonts w:ascii="Times New Roman" w:hAnsi="Times New Roman" w:cs="Times New Roman"/>
          <w:sz w:val="24"/>
          <w:szCs w:val="24"/>
          <w:lang w:val="id-ID"/>
        </w:rPr>
        <w:fldChar w:fldCharType="begin" w:fldLock="1"/>
      </w:r>
      <w:r w:rsidRPr="002C77A6">
        <w:rPr>
          <w:rFonts w:ascii="Times New Roman" w:hAnsi="Times New Roman" w:cs="Times New Roman"/>
          <w:sz w:val="24"/>
          <w:szCs w:val="24"/>
          <w:lang w:val="id-ID"/>
        </w:rPr>
        <w:instrText>ADDIN CSL_CITATION {"citationItems":[{"id":"ITEM-1","itemData":{"abstract":"… variable has a positive effect on tax avoidance, the leverage variable has no effect on tax … penghindaran pajak, variabel leverage tidak berpengaruh terhadap penghindaran pajak, dan …","author":[{"dropping-particle":"","family":"Sudibyo","given":"Heru Harmadi","non-dropping-particle":"","parse-names":false,"suffix":""}],"container-title":"Jurnal Akuntansi dan Manajemen Bisnis","id":"ITEM-1","issue":"1","issued":{"date-parts":[["2022"]]},"page":"78-85","title":"Pengaruh Profitabilitas, Leverage, Dan Pertumbuhan Penjualan Terhadap Penghindaran Pajak","type":"article-journal","volume":"2"},"locator":"78","uris":["http://www.mendeley.com/documents/?uuid=6ec0ced3-d860-4d25-a640-b2169a029318"]}],"mendeley":{"formattedCitation":"(Sudibyo 2022, 78)","manualFormatting":"(Sudibyo 2022:78)","plainTextFormattedCitation":"(Sudibyo 2022, 78)","previouslyFormattedCitation":"(Sudibyo 2022, 78)"},"properties":{"noteIndex":0},"schema":"https://github.com/citation-style-language/schema/raw/master/csl-citation.json"}</w:instrText>
      </w:r>
      <w:r w:rsidRPr="002C77A6">
        <w:rPr>
          <w:rFonts w:ascii="Times New Roman" w:hAnsi="Times New Roman" w:cs="Times New Roman"/>
          <w:sz w:val="24"/>
          <w:szCs w:val="24"/>
          <w:lang w:val="id-ID"/>
        </w:rPr>
        <w:fldChar w:fldCharType="separate"/>
      </w:r>
      <w:r w:rsidRPr="002C77A6">
        <w:rPr>
          <w:rFonts w:ascii="Times New Roman" w:hAnsi="Times New Roman" w:cs="Times New Roman"/>
          <w:noProof/>
          <w:sz w:val="24"/>
          <w:szCs w:val="24"/>
          <w:lang w:val="id-ID"/>
        </w:rPr>
        <w:t>(Sudibyo 2022:78)</w:t>
      </w:r>
      <w:r w:rsidRPr="002C77A6">
        <w:rPr>
          <w:rFonts w:ascii="Times New Roman" w:hAnsi="Times New Roman" w:cs="Times New Roman"/>
          <w:sz w:val="24"/>
          <w:szCs w:val="24"/>
          <w:lang w:val="id-ID"/>
        </w:rPr>
        <w:fldChar w:fldCharType="end"/>
      </w:r>
      <w:r w:rsidRPr="002C77A6">
        <w:rPr>
          <w:rFonts w:ascii="Times New Roman" w:hAnsi="Times New Roman" w:cs="Times New Roman"/>
          <w:sz w:val="24"/>
          <w:szCs w:val="24"/>
          <w:lang w:val="id-ID"/>
        </w:rPr>
        <w:t xml:space="preserve"> menyatakan bahwa </w:t>
      </w:r>
      <w:r w:rsidRPr="002C77A6">
        <w:rPr>
          <w:rFonts w:ascii="Times New Roman" w:hAnsi="Times New Roman" w:cs="Times New Roman"/>
          <w:noProof/>
          <w:sz w:val="24"/>
          <w:szCs w:val="24"/>
          <w:lang w:val="id-ID"/>
        </w:rPr>
        <w:t xml:space="preserve">penghindaran pajak dan penggelapan pajak adalah dua cara pengelakan pajak yang berbeda. Penghindaran pajak dianggap sebagai tindakan legal dalam upaya mengurangi pembayaran pajak. Sedangkan </w:t>
      </w:r>
      <w:r w:rsidRPr="002C77A6">
        <w:rPr>
          <w:rFonts w:ascii="Times New Roman" w:hAnsi="Times New Roman" w:cs="Times New Roman"/>
          <w:noProof/>
          <w:sz w:val="24"/>
          <w:szCs w:val="24"/>
          <w:lang w:val="id-ID"/>
        </w:rPr>
        <w:fldChar w:fldCharType="begin" w:fldLock="1"/>
      </w:r>
      <w:r w:rsidRPr="002C77A6">
        <w:rPr>
          <w:rFonts w:ascii="Times New Roman" w:hAnsi="Times New Roman" w:cs="Times New Roman"/>
          <w:noProof/>
          <w:sz w:val="24"/>
          <w:szCs w:val="24"/>
          <w:lang w:val="id-ID"/>
        </w:rPr>
        <w:instrText>ADDIN CSL_CITATION {"citationItems":[{"id":"ITEM-1","itemData":{"DOI":"10.55681/economina.v2i8.726","abstract":"Di negara Indonesia, pajak mempunyai peranan yang sangat penting dalam kehidupan benegara, khususnya di dalam pelaksanaan pembangunan berskala nasional. Hal ini menyebabkan perusahaan cenderung mencari cara untuk mengurangi jumlah pembayaran pajak, baik secara legal maupun illegal. Riset terdahulu sangat penting dalam suatu riset atau artikel ilmiah. Riset yang relevan berfungsi untuk memperkuat teori dan fenomena hubungan atau pengaruh antar variable. Artikel ini mereview Faktor-faktor yang mempengaruhi Penghindaran Pajak (Tax Avoidance), yaitu: Leverage, Profitabilitas, dan Good Governance. Tujuan penulisan artikel ini adalah untuk mengetahui pengaruh Leverage, Profitabilitas, dan Good Governance. Hasil artikel literature review ini adalah:  1) Leverage berpengaruh terhadap Penghindaran Pajak (Tax Avoidance); 2) Profitabilitas berpengaruh terhadap Penghindaran Pajak (Tax Avoidance); dan 3) Good Governance berpengaruh terhadap Penghindaran Pajak (Tax Avoidance).","author":[{"dropping-particle":"","family":"Khairunnisa","given":"Nabilah Rafifah","non-dropping-particle":"","parse-names":false,"suffix":""},{"dropping-particle":"","family":"Simbolon","given":"Agustina Yohana","non-dropping-particle":"","parse-names":false,"suffix":""},{"dropping-particle":"","family":"Eprianto","given":"Idel","non-dropping-particle":"","parse-names":false,"suffix":""}],"container-title":"Jurnal Economina","id":"ITEM-1","issue":"8","issued":{"date-parts":[["2023"]]},"page":"2164-2177","title":"Pengaruh Leverage, Profitabilitas, Good Governance Terhadap Penghindaran Pajak (Tax Avoidance)","type":"article-journal","volume":"2"},"locator":"2165","uris":["http://www.mendeley.com/documents/?uuid=67e697a4-7859-4570-9b63-5733e819a716"]}],"mendeley":{"formattedCitation":"(Khairunnisa, Simbolon, and Eprianto 2023, 2165)","manualFormatting":"(Khairunnisa, Simbolon, and Eprianto 2023:2165)","plainTextFormattedCitation":"(Khairunnisa, Simbolon, and Eprianto 2023, 2165)","previouslyFormattedCitation":"(Khairunnisa, Simbolon, and Eprianto 2023, 2165)"},"properties":{"noteIndex":0},"schema":"https://github.com/citation-style-language/schema/raw/master/csl-citation.json"}</w:instrText>
      </w:r>
      <w:r w:rsidRPr="002C77A6">
        <w:rPr>
          <w:rFonts w:ascii="Times New Roman" w:hAnsi="Times New Roman" w:cs="Times New Roman"/>
          <w:noProof/>
          <w:sz w:val="24"/>
          <w:szCs w:val="24"/>
          <w:lang w:val="id-ID"/>
        </w:rPr>
        <w:fldChar w:fldCharType="separate"/>
      </w:r>
      <w:r w:rsidRPr="002C77A6">
        <w:rPr>
          <w:rFonts w:ascii="Times New Roman" w:hAnsi="Times New Roman" w:cs="Times New Roman"/>
          <w:noProof/>
          <w:sz w:val="24"/>
          <w:szCs w:val="24"/>
          <w:lang w:val="id-ID"/>
        </w:rPr>
        <w:t>(Khairunnisa, Simbolon, and Eprianto 2023:2165)</w:t>
      </w:r>
      <w:r w:rsidRPr="002C77A6">
        <w:rPr>
          <w:rFonts w:ascii="Times New Roman" w:hAnsi="Times New Roman" w:cs="Times New Roman"/>
          <w:noProof/>
          <w:sz w:val="24"/>
          <w:szCs w:val="24"/>
          <w:lang w:val="id-ID"/>
        </w:rPr>
        <w:fldChar w:fldCharType="end"/>
      </w:r>
      <w:r w:rsidRPr="002C77A6">
        <w:rPr>
          <w:rFonts w:ascii="Times New Roman" w:hAnsi="Times New Roman" w:cs="Times New Roman"/>
          <w:noProof/>
          <w:sz w:val="24"/>
          <w:szCs w:val="24"/>
          <w:lang w:val="id-ID"/>
        </w:rPr>
        <w:t xml:space="preserve"> menganggap bahwa </w:t>
      </w:r>
      <w:r w:rsidRPr="002C77A6">
        <w:rPr>
          <w:rFonts w:ascii="Times New Roman" w:hAnsi="Times New Roman" w:cs="Times New Roman"/>
          <w:i/>
          <w:noProof/>
          <w:sz w:val="24"/>
          <w:szCs w:val="24"/>
          <w:lang w:val="id-ID"/>
        </w:rPr>
        <w:t>Tax avoidance</w:t>
      </w:r>
      <w:r w:rsidRPr="002C77A6">
        <w:rPr>
          <w:rFonts w:ascii="Times New Roman" w:hAnsi="Times New Roman" w:cs="Times New Roman"/>
          <w:noProof/>
          <w:sz w:val="24"/>
          <w:szCs w:val="24"/>
          <w:lang w:val="id-ID"/>
        </w:rPr>
        <w:t xml:space="preserve"> dan </w:t>
      </w:r>
      <w:r w:rsidRPr="002C77A6">
        <w:rPr>
          <w:rFonts w:ascii="Times New Roman" w:hAnsi="Times New Roman" w:cs="Times New Roman"/>
          <w:i/>
          <w:noProof/>
          <w:sz w:val="24"/>
          <w:szCs w:val="24"/>
          <w:lang w:val="id-ID"/>
        </w:rPr>
        <w:t>tax evasion</w:t>
      </w:r>
      <w:r w:rsidRPr="002C77A6">
        <w:rPr>
          <w:rFonts w:ascii="Times New Roman" w:hAnsi="Times New Roman" w:cs="Times New Roman"/>
          <w:noProof/>
          <w:sz w:val="24"/>
          <w:szCs w:val="24"/>
          <w:lang w:val="id-ID"/>
        </w:rPr>
        <w:t xml:space="preserve"> berbeda dari perspektif hukum. </w:t>
      </w:r>
      <w:r w:rsidRPr="002C77A6">
        <w:rPr>
          <w:rFonts w:ascii="Times New Roman" w:hAnsi="Times New Roman" w:cs="Times New Roman"/>
          <w:i/>
          <w:noProof/>
          <w:sz w:val="24"/>
          <w:szCs w:val="24"/>
          <w:lang w:val="id-ID"/>
        </w:rPr>
        <w:t>Tax avoidance</w:t>
      </w:r>
      <w:r w:rsidRPr="002C77A6">
        <w:rPr>
          <w:rFonts w:ascii="Times New Roman" w:hAnsi="Times New Roman" w:cs="Times New Roman"/>
          <w:noProof/>
          <w:sz w:val="24"/>
          <w:szCs w:val="24"/>
          <w:lang w:val="id-ID"/>
        </w:rPr>
        <w:t xml:space="preserve"> dianggap sebagai tindakan legal dalam upaya mengurangi pembayaran pajak karena memanfaatkan </w:t>
      </w:r>
      <w:r w:rsidRPr="002C77A6">
        <w:rPr>
          <w:rFonts w:ascii="Times New Roman" w:hAnsi="Times New Roman" w:cs="Times New Roman"/>
          <w:i/>
          <w:noProof/>
          <w:sz w:val="24"/>
          <w:szCs w:val="24"/>
          <w:lang w:val="id-ID"/>
        </w:rPr>
        <w:t>"loopholes"</w:t>
      </w:r>
      <w:r w:rsidRPr="002C77A6">
        <w:rPr>
          <w:rFonts w:ascii="Times New Roman" w:hAnsi="Times New Roman" w:cs="Times New Roman"/>
          <w:noProof/>
          <w:sz w:val="24"/>
          <w:szCs w:val="24"/>
          <w:lang w:val="id-ID"/>
        </w:rPr>
        <w:t xml:space="preserve"> dalam Undang – undang perpajakan yang berlaku. Di sisi lain </w:t>
      </w:r>
      <w:r w:rsidRPr="002C77A6">
        <w:rPr>
          <w:rFonts w:ascii="Times New Roman" w:hAnsi="Times New Roman" w:cs="Times New Roman"/>
          <w:i/>
          <w:noProof/>
          <w:sz w:val="24"/>
          <w:szCs w:val="24"/>
          <w:lang w:val="id-ID"/>
        </w:rPr>
        <w:t>tax evasion</w:t>
      </w:r>
      <w:r w:rsidRPr="002C77A6">
        <w:rPr>
          <w:rFonts w:ascii="Times New Roman" w:hAnsi="Times New Roman" w:cs="Times New Roman"/>
          <w:noProof/>
          <w:sz w:val="24"/>
          <w:szCs w:val="24"/>
          <w:lang w:val="id-ID"/>
        </w:rPr>
        <w:t> dianggap sebagai tindakan ilegal dalam upaya mengurangi pembayaran pajak.</w:t>
      </w:r>
    </w:p>
    <w:p w14:paraId="0D3A7E00"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lastRenderedPageBreak/>
        <w:t xml:space="preserve">Kasus penghindaran pajak atas properti yang terjadi di Indonesia beberapa kali kerap terjadi, berdasarkan informasi yang diperoleh melalui </w:t>
      </w:r>
      <w:hyperlink r:id="rId14" w:history="1">
        <w:r w:rsidRPr="002C77A6">
          <w:rPr>
            <w:rStyle w:val="Hyperlink"/>
            <w:rFonts w:ascii="Times New Roman" w:hAnsi="Times New Roman" w:cs="Times New Roman"/>
            <w:noProof/>
            <w:sz w:val="24"/>
            <w:szCs w:val="24"/>
            <w:lang w:val="id-ID"/>
          </w:rPr>
          <w:t>https://www.kompas.com</w:t>
        </w:r>
      </w:hyperlink>
      <w:r w:rsidRPr="002C77A6">
        <w:rPr>
          <w:rFonts w:ascii="Times New Roman" w:hAnsi="Times New Roman" w:cs="Times New Roman"/>
          <w:noProof/>
          <w:sz w:val="24"/>
          <w:szCs w:val="24"/>
          <w:lang w:val="id-ID"/>
        </w:rPr>
        <w:t xml:space="preserve"> pada tahun 2013 yaitu kasus Simulator SIM yang menarik perhatian publik. Fakta mengejutkan terungkap ketika </w:t>
      </w:r>
      <w:r w:rsidRPr="002C77A6">
        <w:rPr>
          <w:rFonts w:ascii="Times New Roman" w:hAnsi="Times New Roman" w:cs="Times New Roman"/>
          <w:i/>
          <w:noProof/>
          <w:sz w:val="24"/>
          <w:szCs w:val="24"/>
          <w:lang w:val="id-ID"/>
        </w:rPr>
        <w:t xml:space="preserve">developer </w:t>
      </w:r>
      <w:r w:rsidRPr="002C77A6">
        <w:rPr>
          <w:rFonts w:ascii="Times New Roman" w:hAnsi="Times New Roman" w:cs="Times New Roman"/>
          <w:noProof/>
          <w:sz w:val="24"/>
          <w:szCs w:val="24"/>
          <w:lang w:val="id-ID"/>
        </w:rPr>
        <w:t xml:space="preserve">menjual rumah mewah kepada pelaku seharga Rp 7,1 miliar di Semarang, tetapi hanya tertulis Rp 784 juta di akta notaris, atau selisih seharga Rp 6,1 miliar. Pelaku simulator SIM juga membeli rumah di Depok seharga Rp 2,65 miliar. Namun hanya tertulis Rp 784 juta di akta jual beli nya atau ada selisih Rp 1,9 miliar. Kasus penghindaran pajak lainnya adalah laporan Global </w:t>
      </w:r>
      <w:r w:rsidRPr="002C77A6">
        <w:rPr>
          <w:rFonts w:ascii="Times New Roman" w:hAnsi="Times New Roman" w:cs="Times New Roman"/>
          <w:i/>
          <w:noProof/>
          <w:sz w:val="24"/>
          <w:szCs w:val="24"/>
          <w:lang w:val="id-ID"/>
        </w:rPr>
        <w:t>Witness</w:t>
      </w:r>
      <w:r w:rsidRPr="002C77A6">
        <w:rPr>
          <w:rFonts w:ascii="Times New Roman" w:hAnsi="Times New Roman" w:cs="Times New Roman"/>
          <w:noProof/>
          <w:sz w:val="24"/>
          <w:szCs w:val="24"/>
          <w:lang w:val="id-ID"/>
        </w:rPr>
        <w:t xml:space="preserve"> yang menunjukan PT Adaro EnergyTbk, perusahaan tambang besar di Indonesia, melakukan penghindaran pajak </w:t>
      </w:r>
      <w:r w:rsidRPr="002C77A6">
        <w:rPr>
          <w:rFonts w:ascii="Times New Roman" w:hAnsi="Times New Roman" w:cs="Times New Roman"/>
          <w:i/>
          <w:noProof/>
          <w:sz w:val="24"/>
          <w:szCs w:val="24"/>
          <w:lang w:val="id-ID"/>
        </w:rPr>
        <w:t>transfer pricing</w:t>
      </w:r>
      <w:r w:rsidRPr="002C77A6">
        <w:rPr>
          <w:rFonts w:ascii="Times New Roman" w:hAnsi="Times New Roman" w:cs="Times New Roman"/>
          <w:noProof/>
          <w:sz w:val="24"/>
          <w:szCs w:val="24"/>
          <w:lang w:val="id-ID"/>
        </w:rPr>
        <w:t xml:space="preserve"> melalui anak usahanya yang di Singapura, </w:t>
      </w:r>
      <w:r w:rsidRPr="002C77A6">
        <w:rPr>
          <w:rFonts w:ascii="Times New Roman" w:hAnsi="Times New Roman" w:cs="Times New Roman"/>
          <w:i/>
          <w:noProof/>
          <w:sz w:val="24"/>
          <w:szCs w:val="24"/>
          <w:lang w:val="id-ID"/>
        </w:rPr>
        <w:t>Coaltrade Service International</w:t>
      </w:r>
      <w:r w:rsidRPr="002C77A6">
        <w:rPr>
          <w:rFonts w:ascii="Times New Roman" w:hAnsi="Times New Roman" w:cs="Times New Roman"/>
          <w:noProof/>
          <w:sz w:val="24"/>
          <w:szCs w:val="24"/>
          <w:lang w:val="id-ID"/>
        </w:rPr>
        <w:t>. Perusahaan Adaro yang disebutkan telah melakukan penghindaran pajak dari tahun 2009 hingga 2017. Perusahaan Adaro hanya membayar pajak US$ 125 juta, atau setara Rp 1,75 triliun (kurs Rp 14 ribu), lebih rendah daripada yang seharusnya dibayarkan ke Indonesia (</w:t>
      </w:r>
      <w:r w:rsidRPr="002C77A6">
        <w:rPr>
          <w:rFonts w:ascii="Times New Roman" w:hAnsi="Times New Roman" w:cs="Times New Roman"/>
          <w:i/>
          <w:noProof/>
          <w:sz w:val="24"/>
          <w:szCs w:val="24"/>
          <w:lang w:val="id-ID"/>
        </w:rPr>
        <w:t>Detik Finance</w:t>
      </w:r>
      <w:r w:rsidRPr="002C77A6">
        <w:rPr>
          <w:rFonts w:ascii="Times New Roman" w:hAnsi="Times New Roman" w:cs="Times New Roman"/>
          <w:noProof/>
          <w:sz w:val="24"/>
          <w:szCs w:val="24"/>
          <w:lang w:val="id-ID"/>
        </w:rPr>
        <w:t>, Jumat 5 Juli 2019).</w:t>
      </w:r>
    </w:p>
    <w:p w14:paraId="180072CF" w14:textId="77777777" w:rsidR="00043799" w:rsidRPr="002C77A6" w:rsidRDefault="00043799" w:rsidP="00043799">
      <w:pPr>
        <w:shd w:val="clear" w:color="auto" w:fill="FFFFFF" w:themeFill="background1"/>
        <w:spacing w:line="360" w:lineRule="auto"/>
        <w:ind w:left="426" w:firstLine="567"/>
        <w:jc w:val="both"/>
        <w:rPr>
          <w:rFonts w:ascii="Times New Roman" w:hAnsi="Times New Roman" w:cs="Times New Roman"/>
          <w:b/>
          <w:sz w:val="24"/>
          <w:szCs w:val="24"/>
          <w:lang w:val="id-ID"/>
        </w:rPr>
      </w:pPr>
      <w:r w:rsidRPr="002C77A6">
        <w:rPr>
          <w:rFonts w:ascii="Times New Roman" w:hAnsi="Times New Roman" w:cs="Times New Roman"/>
          <w:sz w:val="24"/>
          <w:szCs w:val="24"/>
        </w:rPr>
        <w:t>Berdasarkan permasalahan yang dijelaskan sebelumnya, maka penulis</w:t>
      </w:r>
      <w:r w:rsidRPr="002C77A6">
        <w:rPr>
          <w:rFonts w:ascii="Times New Roman" w:hAnsi="Times New Roman" w:cs="Times New Roman"/>
          <w:spacing w:val="1"/>
          <w:sz w:val="24"/>
          <w:szCs w:val="24"/>
        </w:rPr>
        <w:t xml:space="preserve"> </w:t>
      </w:r>
      <w:r w:rsidRPr="002C77A6">
        <w:rPr>
          <w:rFonts w:ascii="Times New Roman" w:hAnsi="Times New Roman" w:cs="Times New Roman"/>
          <w:sz w:val="24"/>
          <w:szCs w:val="24"/>
        </w:rPr>
        <w:t>tertarik</w:t>
      </w:r>
      <w:r w:rsidRPr="002C77A6">
        <w:rPr>
          <w:rFonts w:ascii="Times New Roman" w:hAnsi="Times New Roman" w:cs="Times New Roman"/>
          <w:spacing w:val="1"/>
          <w:sz w:val="24"/>
          <w:szCs w:val="24"/>
        </w:rPr>
        <w:t xml:space="preserve"> </w:t>
      </w:r>
      <w:r w:rsidRPr="002C77A6">
        <w:rPr>
          <w:rFonts w:ascii="Times New Roman" w:hAnsi="Times New Roman" w:cs="Times New Roman"/>
          <w:sz w:val="24"/>
          <w:szCs w:val="24"/>
        </w:rPr>
        <w:t>melaksanakan</w:t>
      </w:r>
      <w:r w:rsidRPr="002C77A6">
        <w:rPr>
          <w:rFonts w:ascii="Times New Roman" w:hAnsi="Times New Roman" w:cs="Times New Roman"/>
          <w:spacing w:val="1"/>
          <w:sz w:val="24"/>
          <w:szCs w:val="24"/>
        </w:rPr>
        <w:t xml:space="preserve"> </w:t>
      </w:r>
      <w:r w:rsidRPr="002C77A6">
        <w:rPr>
          <w:rFonts w:ascii="Times New Roman" w:hAnsi="Times New Roman" w:cs="Times New Roman"/>
          <w:sz w:val="24"/>
          <w:szCs w:val="24"/>
        </w:rPr>
        <w:t>penelitian</w:t>
      </w:r>
      <w:r w:rsidRPr="002C77A6">
        <w:rPr>
          <w:rFonts w:ascii="Times New Roman" w:hAnsi="Times New Roman" w:cs="Times New Roman"/>
          <w:spacing w:val="1"/>
          <w:sz w:val="24"/>
          <w:szCs w:val="24"/>
        </w:rPr>
        <w:t xml:space="preserve"> </w:t>
      </w:r>
      <w:r w:rsidRPr="002C77A6">
        <w:rPr>
          <w:rFonts w:ascii="Times New Roman" w:hAnsi="Times New Roman" w:cs="Times New Roman"/>
          <w:sz w:val="24"/>
          <w:szCs w:val="24"/>
        </w:rPr>
        <w:t>yang</w:t>
      </w:r>
      <w:r w:rsidRPr="002C77A6">
        <w:rPr>
          <w:rFonts w:ascii="Times New Roman" w:hAnsi="Times New Roman" w:cs="Times New Roman"/>
          <w:spacing w:val="1"/>
          <w:sz w:val="24"/>
          <w:szCs w:val="24"/>
        </w:rPr>
        <w:t xml:space="preserve"> </w:t>
      </w:r>
      <w:r w:rsidRPr="002C77A6">
        <w:rPr>
          <w:rFonts w:ascii="Times New Roman" w:hAnsi="Times New Roman" w:cs="Times New Roman"/>
          <w:sz w:val="24"/>
          <w:szCs w:val="24"/>
        </w:rPr>
        <w:t>berjudul</w:t>
      </w:r>
      <w:r w:rsidRPr="002C77A6">
        <w:rPr>
          <w:rFonts w:ascii="Times New Roman" w:hAnsi="Times New Roman" w:cs="Times New Roman"/>
          <w:spacing w:val="1"/>
          <w:sz w:val="24"/>
          <w:szCs w:val="24"/>
        </w:rPr>
        <w:t xml:space="preserve"> </w:t>
      </w:r>
      <w:r w:rsidRPr="002C77A6">
        <w:rPr>
          <w:rFonts w:ascii="Times New Roman" w:hAnsi="Times New Roman" w:cs="Times New Roman"/>
          <w:spacing w:val="1"/>
          <w:sz w:val="24"/>
          <w:szCs w:val="24"/>
          <w:lang w:val="id-ID"/>
        </w:rPr>
        <w:t xml:space="preserve">“Pengaruh Profitabilitas, </w:t>
      </w:r>
      <w:r w:rsidRPr="002C77A6">
        <w:rPr>
          <w:rFonts w:ascii="Times New Roman" w:hAnsi="Times New Roman" w:cs="Times New Roman"/>
          <w:i/>
          <w:spacing w:val="1"/>
          <w:sz w:val="24"/>
          <w:szCs w:val="24"/>
          <w:lang w:val="id-ID"/>
        </w:rPr>
        <w:t xml:space="preserve">Levergae </w:t>
      </w:r>
      <w:r w:rsidRPr="002C77A6">
        <w:rPr>
          <w:rFonts w:ascii="Times New Roman" w:hAnsi="Times New Roman" w:cs="Times New Roman"/>
          <w:spacing w:val="1"/>
          <w:sz w:val="24"/>
          <w:szCs w:val="24"/>
          <w:lang w:val="id-ID"/>
        </w:rPr>
        <w:t xml:space="preserve">Dan Pertumbuhan Penjualan Terhadap Penghindaran Pajak (Studi Kasus : Pada Perusahaan Sektor </w:t>
      </w:r>
      <w:r w:rsidRPr="002C77A6">
        <w:rPr>
          <w:rFonts w:ascii="Times New Roman" w:hAnsi="Times New Roman" w:cs="Times New Roman"/>
          <w:i/>
          <w:spacing w:val="1"/>
          <w:sz w:val="24"/>
          <w:szCs w:val="24"/>
          <w:lang w:val="id-ID"/>
        </w:rPr>
        <w:t>Real Estate “Property”</w:t>
      </w:r>
      <w:r w:rsidRPr="002C77A6">
        <w:rPr>
          <w:rFonts w:ascii="Times New Roman" w:hAnsi="Times New Roman" w:cs="Times New Roman"/>
          <w:spacing w:val="1"/>
          <w:sz w:val="24"/>
          <w:szCs w:val="24"/>
          <w:lang w:val="id-ID"/>
        </w:rPr>
        <w:t xml:space="preserve"> Yang Terdaftar Di Bursa Efek Indonesia Periode (2018-2022).”</w:t>
      </w:r>
      <w:r w:rsidRPr="002C77A6">
        <w:rPr>
          <w:rFonts w:ascii="Times New Roman" w:hAnsi="Times New Roman" w:cs="Times New Roman"/>
          <w:b/>
          <w:sz w:val="24"/>
          <w:szCs w:val="24"/>
          <w:lang w:val="id-ID"/>
        </w:rPr>
        <w:t>.</w:t>
      </w:r>
    </w:p>
    <w:p w14:paraId="64413A80" w14:textId="77777777" w:rsidR="00043799" w:rsidRPr="002C77A6" w:rsidRDefault="00043799" w:rsidP="00043799">
      <w:pPr>
        <w:pStyle w:val="ListParagraph"/>
        <w:numPr>
          <w:ilvl w:val="1"/>
          <w:numId w:val="5"/>
        </w:numPr>
        <w:shd w:val="clear" w:color="auto" w:fill="FFFFFF" w:themeFill="background1"/>
        <w:spacing w:line="360" w:lineRule="auto"/>
        <w:ind w:left="426" w:hanging="568"/>
        <w:jc w:val="both"/>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Pembatasan Masalah</w:t>
      </w:r>
    </w:p>
    <w:p w14:paraId="356E2F65" w14:textId="77777777" w:rsidR="00043799" w:rsidRPr="002C77A6" w:rsidRDefault="00043799" w:rsidP="00043799">
      <w:pPr>
        <w:pStyle w:val="ListParagraph"/>
        <w:shd w:val="clear" w:color="auto" w:fill="FFFFFF" w:themeFill="background1"/>
        <w:spacing w:after="240" w:line="360" w:lineRule="auto"/>
        <w:ind w:left="360" w:firstLine="633"/>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Pembatasan masalah dalam penelitian ini adalah untuk menghindari penyimpangan atau perluasan topik, antara lain:</w:t>
      </w:r>
    </w:p>
    <w:p w14:paraId="5F1D08EF" w14:textId="77777777" w:rsidR="00043799" w:rsidRPr="002C77A6" w:rsidRDefault="00043799" w:rsidP="00043799">
      <w:pPr>
        <w:pStyle w:val="ListParagraph"/>
        <w:numPr>
          <w:ilvl w:val="0"/>
          <w:numId w:val="1"/>
        </w:numPr>
        <w:shd w:val="clear" w:color="auto" w:fill="FFFFFF" w:themeFill="background1"/>
        <w:spacing w:line="360" w:lineRule="auto"/>
        <w:ind w:left="709"/>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Penelitian ini menggunakan variabel independen yaitu Profitabilitas, </w:t>
      </w:r>
      <w:r w:rsidRPr="002C77A6">
        <w:rPr>
          <w:rFonts w:ascii="Times New Roman" w:hAnsi="Times New Roman" w:cs="Times New Roman"/>
          <w:i/>
          <w:noProof/>
          <w:sz w:val="24"/>
          <w:szCs w:val="24"/>
          <w:lang w:val="id-ID"/>
        </w:rPr>
        <w:t>Leverage</w:t>
      </w:r>
      <w:r w:rsidRPr="002C77A6">
        <w:rPr>
          <w:rFonts w:ascii="Times New Roman" w:hAnsi="Times New Roman" w:cs="Times New Roman"/>
          <w:noProof/>
          <w:sz w:val="24"/>
          <w:szCs w:val="24"/>
          <w:lang w:val="id-ID"/>
        </w:rPr>
        <w:t xml:space="preserve"> dan Pertumbuhan Penjualan. Sedangkan untuk variabel dependen yaitu Penghindaran Pajak.</w:t>
      </w:r>
    </w:p>
    <w:p w14:paraId="77ECB175" w14:textId="77777777" w:rsidR="00043799" w:rsidRPr="002C77A6" w:rsidRDefault="00043799" w:rsidP="00043799">
      <w:pPr>
        <w:pStyle w:val="ListParagraph"/>
        <w:numPr>
          <w:ilvl w:val="0"/>
          <w:numId w:val="1"/>
        </w:numPr>
        <w:shd w:val="clear" w:color="auto" w:fill="FFFFFF" w:themeFill="background1"/>
        <w:spacing w:line="360" w:lineRule="auto"/>
        <w:ind w:left="709"/>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Penelitian ini menggunakan informasi dari data laporan keuangan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 sampai 2022.</w:t>
      </w:r>
    </w:p>
    <w:p w14:paraId="4E60C047" w14:textId="77777777" w:rsidR="00043799" w:rsidRPr="002C77A6" w:rsidRDefault="00043799" w:rsidP="00043799">
      <w:pPr>
        <w:pStyle w:val="ListParagraph"/>
        <w:numPr>
          <w:ilvl w:val="1"/>
          <w:numId w:val="5"/>
        </w:numPr>
        <w:shd w:val="clear" w:color="auto" w:fill="FFFFFF" w:themeFill="background1"/>
        <w:spacing w:after="240" w:line="360" w:lineRule="auto"/>
        <w:ind w:left="426" w:hanging="568"/>
        <w:jc w:val="both"/>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lastRenderedPageBreak/>
        <w:t>Rumusan Masalah</w:t>
      </w:r>
    </w:p>
    <w:p w14:paraId="70BD377C" w14:textId="77777777" w:rsidR="00043799" w:rsidRPr="002C77A6" w:rsidRDefault="00043799" w:rsidP="00043799">
      <w:pPr>
        <w:pStyle w:val="ListParagraph"/>
        <w:shd w:val="clear" w:color="auto" w:fill="FFFFFF" w:themeFill="background1"/>
        <w:spacing w:after="240" w:line="360" w:lineRule="auto"/>
        <w:ind w:left="426" w:firstLine="567"/>
        <w:jc w:val="both"/>
        <w:rPr>
          <w:rFonts w:ascii="Times New Roman" w:hAnsi="Times New Roman" w:cs="Times New Roman"/>
          <w:b/>
          <w:noProof/>
          <w:sz w:val="24"/>
          <w:szCs w:val="24"/>
          <w:lang w:val="id-ID"/>
        </w:rPr>
      </w:pPr>
      <w:r w:rsidRPr="002C77A6">
        <w:rPr>
          <w:rFonts w:ascii="Times New Roman" w:hAnsi="Times New Roman" w:cs="Times New Roman"/>
          <w:noProof/>
          <w:sz w:val="24"/>
          <w:szCs w:val="24"/>
          <w:lang w:val="id-ID"/>
        </w:rPr>
        <w:t>Berdasarkan dengan batasan masalah diatas, penelitian ini dirumuskan sebagai berikut :</w:t>
      </w:r>
    </w:p>
    <w:p w14:paraId="26068C21" w14:textId="77777777" w:rsidR="00043799" w:rsidRPr="002C77A6" w:rsidRDefault="00043799" w:rsidP="00043799">
      <w:pPr>
        <w:pStyle w:val="ListParagraph"/>
        <w:numPr>
          <w:ilvl w:val="0"/>
          <w:numId w:val="2"/>
        </w:numPr>
        <w:shd w:val="clear" w:color="auto" w:fill="FFFFFF" w:themeFill="background1"/>
        <w:spacing w:line="360" w:lineRule="auto"/>
        <w:ind w:left="709" w:hanging="425"/>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Apakah Profitabilitas berpengaruh terhadap penghindaran pajak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2018-2022 ?</w:t>
      </w:r>
    </w:p>
    <w:p w14:paraId="643AA008" w14:textId="77777777" w:rsidR="00043799" w:rsidRPr="002C77A6" w:rsidRDefault="00043799" w:rsidP="00043799">
      <w:pPr>
        <w:pStyle w:val="ListParagraph"/>
        <w:numPr>
          <w:ilvl w:val="0"/>
          <w:numId w:val="2"/>
        </w:numPr>
        <w:shd w:val="clear" w:color="auto" w:fill="FFFFFF" w:themeFill="background1"/>
        <w:spacing w:line="360" w:lineRule="auto"/>
        <w:ind w:left="709" w:hanging="425"/>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Apakah </w:t>
      </w:r>
      <w:r w:rsidRPr="002C77A6">
        <w:rPr>
          <w:rFonts w:ascii="Times New Roman" w:hAnsi="Times New Roman" w:cs="Times New Roman"/>
          <w:i/>
          <w:noProof/>
          <w:sz w:val="24"/>
          <w:szCs w:val="24"/>
          <w:lang w:val="id-ID"/>
        </w:rPr>
        <w:t>leverage</w:t>
      </w:r>
      <w:r w:rsidRPr="002C77A6">
        <w:rPr>
          <w:rFonts w:ascii="Times New Roman" w:hAnsi="Times New Roman" w:cs="Times New Roman"/>
          <w:noProof/>
          <w:sz w:val="24"/>
          <w:szCs w:val="24"/>
          <w:lang w:val="id-ID"/>
        </w:rPr>
        <w:t xml:space="preserve"> berpengaruh terhadap penghindaran pajak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2018-2022 ?</w:t>
      </w:r>
    </w:p>
    <w:p w14:paraId="381A4F23" w14:textId="77777777" w:rsidR="00043799" w:rsidRPr="002C77A6" w:rsidRDefault="00043799" w:rsidP="00043799">
      <w:pPr>
        <w:pStyle w:val="ListParagraph"/>
        <w:numPr>
          <w:ilvl w:val="0"/>
          <w:numId w:val="2"/>
        </w:numPr>
        <w:shd w:val="clear" w:color="auto" w:fill="FFFFFF" w:themeFill="background1"/>
        <w:spacing w:line="360" w:lineRule="auto"/>
        <w:ind w:left="709" w:hanging="425"/>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Apakah Pertumbuhan Penjualan berpengaruh terhadap penghindaran pajak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2018-2022 ?</w:t>
      </w:r>
    </w:p>
    <w:p w14:paraId="645AD1B2" w14:textId="77777777" w:rsidR="00043799" w:rsidRPr="002C77A6" w:rsidRDefault="00043799" w:rsidP="00043799">
      <w:pPr>
        <w:pStyle w:val="ListParagraph"/>
        <w:numPr>
          <w:ilvl w:val="0"/>
          <w:numId w:val="2"/>
        </w:numPr>
        <w:shd w:val="clear" w:color="auto" w:fill="FFFFFF" w:themeFill="background1"/>
        <w:spacing w:line="360" w:lineRule="auto"/>
        <w:ind w:left="709" w:hanging="425"/>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Bagaimanakah pengaruh antara profitabilitas, </w:t>
      </w:r>
      <w:r w:rsidRPr="002C77A6">
        <w:rPr>
          <w:rFonts w:ascii="Times New Roman" w:hAnsi="Times New Roman" w:cs="Times New Roman"/>
          <w:i/>
          <w:noProof/>
          <w:sz w:val="24"/>
          <w:szCs w:val="24"/>
          <w:lang w:val="id-ID"/>
        </w:rPr>
        <w:t>leverage</w:t>
      </w:r>
      <w:r w:rsidRPr="002C77A6">
        <w:rPr>
          <w:rFonts w:ascii="Times New Roman" w:hAnsi="Times New Roman" w:cs="Times New Roman"/>
          <w:noProof/>
          <w:sz w:val="24"/>
          <w:szCs w:val="24"/>
          <w:lang w:val="id-ID"/>
        </w:rPr>
        <w:t xml:space="preserve">, pertumbuhan penjualan secara bersamaan terhadap penghindaran pajak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2018-2022 ?</w:t>
      </w:r>
    </w:p>
    <w:p w14:paraId="0B2B8DA8" w14:textId="77777777" w:rsidR="00043799" w:rsidRPr="002C77A6" w:rsidRDefault="00043799" w:rsidP="00043799">
      <w:pPr>
        <w:pStyle w:val="ListParagraph"/>
        <w:numPr>
          <w:ilvl w:val="1"/>
          <w:numId w:val="5"/>
        </w:numPr>
        <w:shd w:val="clear" w:color="auto" w:fill="FFFFFF" w:themeFill="background1"/>
        <w:spacing w:after="240" w:line="360" w:lineRule="auto"/>
        <w:ind w:left="426" w:hanging="568"/>
        <w:jc w:val="both"/>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Tujuan Penelitian</w:t>
      </w:r>
    </w:p>
    <w:p w14:paraId="20E62067" w14:textId="77777777" w:rsidR="00043799" w:rsidRPr="002C77A6" w:rsidRDefault="00043799" w:rsidP="00043799">
      <w:pPr>
        <w:pStyle w:val="ListParagraph"/>
        <w:shd w:val="clear" w:color="auto" w:fill="FFFFFF" w:themeFill="background1"/>
        <w:spacing w:after="240" w:line="360" w:lineRule="auto"/>
        <w:ind w:left="360" w:firstLine="633"/>
        <w:jc w:val="both"/>
        <w:rPr>
          <w:rFonts w:ascii="Times New Roman" w:hAnsi="Times New Roman" w:cs="Times New Roman"/>
          <w:b/>
          <w:noProof/>
          <w:sz w:val="24"/>
          <w:szCs w:val="24"/>
          <w:lang w:val="id-ID"/>
        </w:rPr>
      </w:pPr>
      <w:r w:rsidRPr="002C77A6">
        <w:rPr>
          <w:rFonts w:ascii="Times New Roman" w:hAnsi="Times New Roman" w:cs="Times New Roman"/>
          <w:noProof/>
          <w:sz w:val="24"/>
          <w:szCs w:val="24"/>
          <w:lang w:val="id-ID"/>
        </w:rPr>
        <w:t>Berdasarkan pada rumusan masalah dan uraian yang ada di latar belakang, maka tujuan dari penelitian ini adalah untuk mengetahui :</w:t>
      </w:r>
    </w:p>
    <w:p w14:paraId="3775D600" w14:textId="77777777" w:rsidR="00043799" w:rsidRPr="002C77A6" w:rsidRDefault="00043799" w:rsidP="00043799">
      <w:pPr>
        <w:pStyle w:val="ListParagraph"/>
        <w:numPr>
          <w:ilvl w:val="0"/>
          <w:numId w:val="3"/>
        </w:numPr>
        <w:shd w:val="clear" w:color="auto" w:fill="FFFFFF" w:themeFill="background1"/>
        <w:spacing w:line="360" w:lineRule="auto"/>
        <w:ind w:left="709"/>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Untuk mengkaji pengaruh profitabilitas terhadap penghindaran pajak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20108-2022.</w:t>
      </w:r>
    </w:p>
    <w:p w14:paraId="3E9F9BE3" w14:textId="77777777" w:rsidR="00043799" w:rsidRPr="002C77A6" w:rsidRDefault="00043799" w:rsidP="00043799">
      <w:pPr>
        <w:pStyle w:val="ListParagraph"/>
        <w:numPr>
          <w:ilvl w:val="0"/>
          <w:numId w:val="3"/>
        </w:numPr>
        <w:shd w:val="clear" w:color="auto" w:fill="FFFFFF" w:themeFill="background1"/>
        <w:spacing w:line="360" w:lineRule="auto"/>
        <w:ind w:left="709"/>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Untuk mengkaji pengaruh </w:t>
      </w:r>
      <w:r w:rsidRPr="002C77A6">
        <w:rPr>
          <w:rFonts w:ascii="Times New Roman" w:hAnsi="Times New Roman" w:cs="Times New Roman"/>
          <w:i/>
          <w:noProof/>
          <w:sz w:val="24"/>
          <w:szCs w:val="24"/>
          <w:lang w:val="id-ID"/>
        </w:rPr>
        <w:t>leverage</w:t>
      </w:r>
      <w:r w:rsidRPr="002C77A6">
        <w:rPr>
          <w:rFonts w:ascii="Times New Roman" w:hAnsi="Times New Roman" w:cs="Times New Roman"/>
          <w:noProof/>
          <w:sz w:val="24"/>
          <w:szCs w:val="24"/>
          <w:lang w:val="id-ID"/>
        </w:rPr>
        <w:t xml:space="preserve"> terhadap penghindaran pajak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2018-2022.</w:t>
      </w:r>
    </w:p>
    <w:p w14:paraId="0C2C1DCC" w14:textId="77777777" w:rsidR="00043799" w:rsidRPr="002C77A6" w:rsidRDefault="00043799" w:rsidP="00043799">
      <w:pPr>
        <w:pStyle w:val="ListParagraph"/>
        <w:numPr>
          <w:ilvl w:val="0"/>
          <w:numId w:val="3"/>
        </w:numPr>
        <w:shd w:val="clear" w:color="auto" w:fill="FFFFFF" w:themeFill="background1"/>
        <w:spacing w:line="360" w:lineRule="auto"/>
        <w:ind w:left="709"/>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Untuk mengkaji pengaruh pertumbuhan penjualan terhadap penghindaran pajak pada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2018-2022.</w:t>
      </w:r>
    </w:p>
    <w:p w14:paraId="137FD5C8" w14:textId="77777777" w:rsidR="00043799" w:rsidRPr="00043799" w:rsidRDefault="00043799" w:rsidP="00043799">
      <w:pPr>
        <w:pStyle w:val="ListParagraph"/>
        <w:numPr>
          <w:ilvl w:val="0"/>
          <w:numId w:val="3"/>
        </w:numPr>
        <w:shd w:val="clear" w:color="auto" w:fill="FFFFFF" w:themeFill="background1"/>
        <w:spacing w:line="360" w:lineRule="auto"/>
        <w:ind w:left="709"/>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Untuk mengkaji pengaruh profitabilitas, </w:t>
      </w:r>
      <w:r w:rsidRPr="002C77A6">
        <w:rPr>
          <w:rFonts w:ascii="Times New Roman" w:hAnsi="Times New Roman" w:cs="Times New Roman"/>
          <w:i/>
          <w:noProof/>
          <w:sz w:val="24"/>
          <w:szCs w:val="24"/>
          <w:lang w:val="id-ID"/>
        </w:rPr>
        <w:t xml:space="preserve">leverage </w:t>
      </w:r>
      <w:r w:rsidRPr="002C77A6">
        <w:rPr>
          <w:rFonts w:ascii="Times New Roman" w:hAnsi="Times New Roman" w:cs="Times New Roman"/>
          <w:noProof/>
          <w:sz w:val="24"/>
          <w:szCs w:val="24"/>
          <w:lang w:val="id-ID"/>
        </w:rPr>
        <w:t xml:space="preserve">dan pertumbuhan penjualan secara bersamaan terhadap penghindaran pajak pada perusahaan </w:t>
      </w:r>
      <w:r w:rsidRPr="002C77A6">
        <w:rPr>
          <w:rFonts w:ascii="Times New Roman" w:hAnsi="Times New Roman" w:cs="Times New Roman"/>
          <w:noProof/>
          <w:sz w:val="24"/>
          <w:szCs w:val="24"/>
          <w:lang w:val="id-ID"/>
        </w:rPr>
        <w:lastRenderedPageBreak/>
        <w:t xml:space="preserve">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xml:space="preserve"> yang terdaftar di Bursa Efek Indonesia tahun 2018-2022.</w:t>
      </w:r>
    </w:p>
    <w:p w14:paraId="2A3915C0" w14:textId="77777777" w:rsidR="00043799" w:rsidRPr="002C77A6" w:rsidRDefault="00043799" w:rsidP="00043799">
      <w:pPr>
        <w:pStyle w:val="ListParagraph"/>
        <w:numPr>
          <w:ilvl w:val="1"/>
          <w:numId w:val="5"/>
        </w:numPr>
        <w:shd w:val="clear" w:color="auto" w:fill="FFFFFF" w:themeFill="background1"/>
        <w:spacing w:after="240" w:line="360" w:lineRule="auto"/>
        <w:ind w:left="426" w:hanging="568"/>
        <w:jc w:val="both"/>
        <w:rPr>
          <w:rFonts w:ascii="Times New Roman" w:hAnsi="Times New Roman" w:cs="Times New Roman"/>
          <w:b/>
          <w:noProof/>
          <w:sz w:val="24"/>
          <w:szCs w:val="24"/>
          <w:lang w:val="id-ID"/>
        </w:rPr>
      </w:pPr>
      <w:r w:rsidRPr="002C77A6">
        <w:rPr>
          <w:rFonts w:ascii="Times New Roman" w:hAnsi="Times New Roman" w:cs="Times New Roman"/>
          <w:b/>
          <w:noProof/>
          <w:sz w:val="24"/>
          <w:szCs w:val="24"/>
          <w:lang w:val="id-ID"/>
        </w:rPr>
        <w:t>Manfaat Penelitian</w:t>
      </w:r>
    </w:p>
    <w:p w14:paraId="6B043426" w14:textId="77777777" w:rsidR="00043799" w:rsidRPr="002C77A6" w:rsidRDefault="00043799" w:rsidP="00043799">
      <w:pPr>
        <w:pStyle w:val="ListParagraph"/>
        <w:shd w:val="clear" w:color="auto" w:fill="FFFFFF" w:themeFill="background1"/>
        <w:spacing w:after="240" w:line="360" w:lineRule="auto"/>
        <w:ind w:left="426" w:firstLine="708"/>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Berdasarkan dengan tujuan penelitian diatas, hasil penelitian ini  diharapkan memberikan manfaat, antara lain:</w:t>
      </w:r>
    </w:p>
    <w:p w14:paraId="1B5187FF" w14:textId="77777777" w:rsidR="00043799" w:rsidRPr="002C77A6" w:rsidRDefault="00043799" w:rsidP="00043799">
      <w:pPr>
        <w:pStyle w:val="ListParagraph"/>
        <w:numPr>
          <w:ilvl w:val="0"/>
          <w:numId w:val="4"/>
        </w:numPr>
        <w:shd w:val="clear" w:color="auto" w:fill="FFFFFF" w:themeFill="background1"/>
        <w:spacing w:after="0" w:line="360" w:lineRule="auto"/>
        <w:ind w:left="142" w:firstLine="284"/>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Manfaat Teoritis</w:t>
      </w:r>
    </w:p>
    <w:p w14:paraId="21DB1496" w14:textId="77777777" w:rsidR="00043799" w:rsidRPr="002C77A6" w:rsidRDefault="00043799" w:rsidP="00043799">
      <w:pPr>
        <w:shd w:val="clear" w:color="auto" w:fill="FFFFFF" w:themeFill="background1"/>
        <w:spacing w:after="0" w:line="360" w:lineRule="auto"/>
        <w:ind w:left="709" w:firstLine="425"/>
        <w:contextualSpacing/>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Penelitian ini diharapkan akan memberikan kontribusi yang konstruktif untuk kemajuan penelitian ilmiah dalam bidang perpajakan, terutama yang berkaitan dengan penghindaran pajak, dan menambah bukti empiris.</w:t>
      </w:r>
    </w:p>
    <w:p w14:paraId="6CB174E3" w14:textId="77777777" w:rsidR="00043799" w:rsidRPr="002C77A6" w:rsidRDefault="00043799" w:rsidP="00043799">
      <w:pPr>
        <w:pStyle w:val="ListParagraph"/>
        <w:numPr>
          <w:ilvl w:val="0"/>
          <w:numId w:val="4"/>
        </w:numPr>
        <w:shd w:val="clear" w:color="auto" w:fill="FFFFFF" w:themeFill="background1"/>
        <w:spacing w:after="0" w:line="360" w:lineRule="auto"/>
        <w:ind w:left="142" w:firstLine="284"/>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Manfaat Praktis</w:t>
      </w:r>
    </w:p>
    <w:p w14:paraId="6EDE23B8" w14:textId="77777777" w:rsidR="00043799" w:rsidRPr="002C77A6" w:rsidRDefault="00043799" w:rsidP="00043799">
      <w:pPr>
        <w:shd w:val="clear" w:color="auto" w:fill="FFFFFF" w:themeFill="background1"/>
        <w:spacing w:after="0" w:line="360" w:lineRule="auto"/>
        <w:ind w:left="709" w:firstLine="425"/>
        <w:jc w:val="both"/>
        <w:rPr>
          <w:rFonts w:ascii="Times New Roman" w:hAnsi="Times New Roman" w:cs="Times New Roman"/>
          <w:noProof/>
          <w:sz w:val="24"/>
          <w:szCs w:val="24"/>
          <w:lang w:val="id-ID"/>
        </w:rPr>
      </w:pPr>
      <w:r w:rsidRPr="002C77A6">
        <w:rPr>
          <w:rFonts w:ascii="Times New Roman" w:hAnsi="Times New Roman" w:cs="Times New Roman"/>
          <w:noProof/>
          <w:sz w:val="24"/>
          <w:szCs w:val="24"/>
          <w:lang w:val="id-ID"/>
        </w:rPr>
        <w:t xml:space="preserve">Penelitian ini diharapkan dapat memberikan pemikiran dan tolak ukur bagi pimpinan perusahaan sektor </w:t>
      </w:r>
      <w:r w:rsidRPr="002C77A6">
        <w:rPr>
          <w:rFonts w:ascii="Times New Roman" w:hAnsi="Times New Roman" w:cs="Times New Roman"/>
          <w:i/>
          <w:noProof/>
          <w:sz w:val="24"/>
          <w:szCs w:val="24"/>
          <w:lang w:val="id-ID"/>
        </w:rPr>
        <w:t>real estate "property"</w:t>
      </w:r>
      <w:r w:rsidRPr="002C77A6">
        <w:rPr>
          <w:rFonts w:ascii="Times New Roman" w:hAnsi="Times New Roman" w:cs="Times New Roman"/>
          <w:noProof/>
          <w:sz w:val="24"/>
          <w:szCs w:val="24"/>
          <w:lang w:val="id-ID"/>
        </w:rPr>
        <w:t> yang terdaftar di Bursa Efek Indonesia tentang bagaimana penerapan praktik penghindaran pajak dalam laporan keuangan. Kemudian, penelitian ini digunakan sebagai bentuk peninjauan dan masukan untuk evaluasi kinerja perusahaan dan untuk mengurangi praktik penghindaran pajak yang dianggap merugikan negara.</w:t>
      </w:r>
    </w:p>
    <w:p w14:paraId="5B0D4267" w14:textId="77777777" w:rsidR="00043799" w:rsidRPr="002C77A6" w:rsidRDefault="00043799" w:rsidP="00043799">
      <w:pPr>
        <w:shd w:val="clear" w:color="auto" w:fill="FFFFFF" w:themeFill="background1"/>
        <w:spacing w:line="360" w:lineRule="auto"/>
        <w:ind w:left="709" w:firstLine="709"/>
        <w:jc w:val="both"/>
        <w:rPr>
          <w:rFonts w:ascii="Times New Roman" w:hAnsi="Times New Roman" w:cs="Times New Roman"/>
          <w:noProof/>
          <w:sz w:val="24"/>
          <w:szCs w:val="24"/>
          <w:lang w:val="id-ID"/>
        </w:rPr>
      </w:pPr>
    </w:p>
    <w:p w14:paraId="26B94D4D" w14:textId="77777777" w:rsidR="005E6D15" w:rsidRPr="005578D5" w:rsidRDefault="005E6D15" w:rsidP="005578D5">
      <w:pPr>
        <w:spacing w:after="0"/>
        <w:jc w:val="both"/>
        <w:rPr>
          <w:rFonts w:ascii="Times New Roman" w:hAnsi="Times New Roman" w:cs="Times New Roman"/>
          <w:b/>
          <w:sz w:val="24"/>
          <w:szCs w:val="24"/>
          <w:lang w:val="id-ID"/>
        </w:rPr>
      </w:pPr>
    </w:p>
    <w:sectPr w:rsidR="005E6D15" w:rsidRPr="005578D5" w:rsidSect="00DD2FB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05BB" w14:textId="77777777" w:rsidR="00DD2FB2" w:rsidRDefault="00DD2FB2">
      <w:pPr>
        <w:spacing w:after="0" w:line="240" w:lineRule="auto"/>
      </w:pPr>
      <w:r>
        <w:separator/>
      </w:r>
    </w:p>
  </w:endnote>
  <w:endnote w:type="continuationSeparator" w:id="0">
    <w:p w14:paraId="521290D5" w14:textId="77777777" w:rsidR="00DD2FB2" w:rsidRDefault="00DD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A3B3" w14:textId="77777777" w:rsidR="00627221" w:rsidRDefault="0062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B5BA" w14:textId="77777777" w:rsidR="00627221" w:rsidRDefault="00627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10553"/>
      <w:docPartObj>
        <w:docPartGallery w:val="Page Numbers (Bottom of Page)"/>
        <w:docPartUnique/>
      </w:docPartObj>
    </w:sdtPr>
    <w:sdtEndPr>
      <w:rPr>
        <w:noProof/>
      </w:rPr>
    </w:sdtEndPr>
    <w:sdtContent>
      <w:p w14:paraId="03975B85" w14:textId="77777777" w:rsidR="00000000" w:rsidRDefault="000437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9EB67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99E8" w14:textId="77777777" w:rsidR="00DD2FB2" w:rsidRDefault="00DD2FB2">
      <w:pPr>
        <w:spacing w:after="0" w:line="240" w:lineRule="auto"/>
      </w:pPr>
      <w:r>
        <w:separator/>
      </w:r>
    </w:p>
  </w:footnote>
  <w:footnote w:type="continuationSeparator" w:id="0">
    <w:p w14:paraId="42C9D98E" w14:textId="77777777" w:rsidR="00DD2FB2" w:rsidRDefault="00DD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0C07" w14:textId="1F1F789E" w:rsidR="00627221" w:rsidRDefault="00627221">
    <w:pPr>
      <w:pStyle w:val="Header"/>
    </w:pPr>
    <w:r>
      <w:rPr>
        <w:noProof/>
      </w:rPr>
      <w:pict w14:anchorId="15630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7245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094C" w14:textId="138A7D2D" w:rsidR="00627221" w:rsidRDefault="00627221">
    <w:pPr>
      <w:pStyle w:val="Header"/>
    </w:pPr>
    <w:r>
      <w:rPr>
        <w:noProof/>
      </w:rPr>
      <w:pict w14:anchorId="42F0E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7245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F184" w14:textId="5808F49C" w:rsidR="00000000" w:rsidRDefault="00627221">
    <w:pPr>
      <w:pStyle w:val="Header"/>
      <w:jc w:val="right"/>
    </w:pPr>
    <w:r>
      <w:rPr>
        <w:noProof/>
      </w:rPr>
      <w:pict w14:anchorId="6A9CD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72454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768202C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262"/>
    <w:multiLevelType w:val="hybridMultilevel"/>
    <w:tmpl w:val="2714ADB8"/>
    <w:lvl w:ilvl="0" w:tplc="1A0234A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0B37DD"/>
    <w:multiLevelType w:val="hybridMultilevel"/>
    <w:tmpl w:val="55200F0A"/>
    <w:lvl w:ilvl="0" w:tplc="48B24804">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4BB236B3"/>
    <w:multiLevelType w:val="multilevel"/>
    <w:tmpl w:val="E08E48B8"/>
    <w:lvl w:ilvl="0">
      <w:start w:val="1"/>
      <w:numFmt w:val="decimal"/>
      <w:lvlText w:val="%1."/>
      <w:lvlJc w:val="left"/>
      <w:pPr>
        <w:ind w:left="1440" w:hanging="360"/>
      </w:pPr>
      <w:rPr>
        <w:b w:val="0"/>
      </w:rPr>
    </w:lvl>
    <w:lvl w:ilvl="1">
      <w:start w:val="1"/>
      <w:numFmt w:val="decimal"/>
      <w:isLgl/>
      <w:lvlText w:val="%1.%2"/>
      <w:lvlJc w:val="left"/>
      <w:pPr>
        <w:ind w:left="1592" w:hanging="360"/>
      </w:pPr>
      <w:rPr>
        <w:rFonts w:hint="default"/>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2256" w:hanging="720"/>
      </w:pPr>
      <w:rPr>
        <w:rFonts w:hint="default"/>
      </w:rPr>
    </w:lvl>
    <w:lvl w:ilvl="4">
      <w:start w:val="1"/>
      <w:numFmt w:val="decimal"/>
      <w:isLgl/>
      <w:lvlText w:val="%1.%2.%3.%4.%5"/>
      <w:lvlJc w:val="left"/>
      <w:pPr>
        <w:ind w:left="2768" w:hanging="1080"/>
      </w:pPr>
      <w:rPr>
        <w:rFonts w:hint="default"/>
      </w:rPr>
    </w:lvl>
    <w:lvl w:ilvl="5">
      <w:start w:val="1"/>
      <w:numFmt w:val="decimal"/>
      <w:isLgl/>
      <w:lvlText w:val="%1.%2.%3.%4.%5.%6"/>
      <w:lvlJc w:val="left"/>
      <w:pPr>
        <w:ind w:left="2920" w:hanging="1080"/>
      </w:pPr>
      <w:rPr>
        <w:rFonts w:hint="default"/>
      </w:rPr>
    </w:lvl>
    <w:lvl w:ilvl="6">
      <w:start w:val="1"/>
      <w:numFmt w:val="decimal"/>
      <w:isLgl/>
      <w:lvlText w:val="%1.%2.%3.%4.%5.%6.%7"/>
      <w:lvlJc w:val="left"/>
      <w:pPr>
        <w:ind w:left="3432" w:hanging="1440"/>
      </w:pPr>
      <w:rPr>
        <w:rFonts w:hint="default"/>
      </w:rPr>
    </w:lvl>
    <w:lvl w:ilvl="7">
      <w:start w:val="1"/>
      <w:numFmt w:val="decimal"/>
      <w:isLgl/>
      <w:lvlText w:val="%1.%2.%3.%4.%5.%6.%7.%8"/>
      <w:lvlJc w:val="left"/>
      <w:pPr>
        <w:ind w:left="3584" w:hanging="1440"/>
      </w:pPr>
      <w:rPr>
        <w:rFonts w:hint="default"/>
      </w:rPr>
    </w:lvl>
    <w:lvl w:ilvl="8">
      <w:start w:val="1"/>
      <w:numFmt w:val="decimal"/>
      <w:isLgl/>
      <w:lvlText w:val="%1.%2.%3.%4.%5.%6.%7.%8.%9"/>
      <w:lvlJc w:val="left"/>
      <w:pPr>
        <w:ind w:left="3736" w:hanging="1440"/>
      </w:pPr>
      <w:rPr>
        <w:rFonts w:hint="default"/>
      </w:rPr>
    </w:lvl>
  </w:abstractNum>
  <w:abstractNum w:abstractNumId="3" w15:restartNumberingAfterBreak="0">
    <w:nsid w:val="585B61A8"/>
    <w:multiLevelType w:val="multilevel"/>
    <w:tmpl w:val="82A434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A384782"/>
    <w:multiLevelType w:val="multilevel"/>
    <w:tmpl w:val="D4AED81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16cid:durableId="1269847301">
    <w:abstractNumId w:val="2"/>
  </w:num>
  <w:num w:numId="2" w16cid:durableId="1203133501">
    <w:abstractNumId w:val="1"/>
  </w:num>
  <w:num w:numId="3" w16cid:durableId="928807108">
    <w:abstractNumId w:val="0"/>
  </w:num>
  <w:num w:numId="4" w16cid:durableId="646251869">
    <w:abstractNumId w:val="4"/>
  </w:num>
  <w:num w:numId="5" w16cid:durableId="2129544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DCJKjZFH460q45zBI21h94lHxBdWPGflbfPT1xRz3ONB7TRw7CbgWzUOL+jXHI6B+xMMoxK74MqpRrpbLskKkQ==" w:salt="uGnwYDx1rpk1VfG408b96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D5"/>
    <w:rsid w:val="00043799"/>
    <w:rsid w:val="005578D5"/>
    <w:rsid w:val="005E6D15"/>
    <w:rsid w:val="00627221"/>
    <w:rsid w:val="00DD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4179"/>
  <w15:chartTrackingRefBased/>
  <w15:docId w15:val="{7DF1B8E6-1BC1-496E-8C0B-6C7CA55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8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3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799"/>
  </w:style>
  <w:style w:type="paragraph" w:styleId="Footer">
    <w:name w:val="footer"/>
    <w:basedOn w:val="Normal"/>
    <w:link w:val="FooterChar"/>
    <w:uiPriority w:val="99"/>
    <w:unhideWhenUsed/>
    <w:rsid w:val="00043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799"/>
  </w:style>
  <w:style w:type="paragraph" w:styleId="ListParagraph">
    <w:name w:val="List Paragraph"/>
    <w:aliases w:val="spasi 2 taiiii,Heading 2 Char1,Char Char,List Paragraph1,List Paragraph11,normal,skripsi,Body of text,Body Text Char1,Char Char2,List Paragraph2"/>
    <w:basedOn w:val="Normal"/>
    <w:link w:val="ListParagraphChar"/>
    <w:uiPriority w:val="1"/>
    <w:qFormat/>
    <w:rsid w:val="00043799"/>
    <w:pPr>
      <w:ind w:left="720"/>
      <w:contextualSpacing/>
    </w:pPr>
  </w:style>
  <w:style w:type="character" w:customStyle="1" w:styleId="ListParagraphChar">
    <w:name w:val="List Paragraph Char"/>
    <w:aliases w:val="spasi 2 taiiii Char,Heading 2 Char1 Char,Char Char Char,List Paragraph1 Char,List Paragraph11 Char,normal Char,skripsi Char,Body of text Char,Body Text Char1 Char,Char Char2 Char,List Paragraph2 Char"/>
    <w:link w:val="ListParagraph"/>
    <w:uiPriority w:val="1"/>
    <w:qFormat/>
    <w:locked/>
    <w:rsid w:val="00043799"/>
  </w:style>
  <w:style w:type="table" w:styleId="TableGrid">
    <w:name w:val="Table Grid"/>
    <w:basedOn w:val="TableNormal"/>
    <w:uiPriority w:val="39"/>
    <w:rsid w:val="0004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ncbindonesia.com,20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omp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tsuraya ulfah</cp:lastModifiedBy>
  <cp:revision>3</cp:revision>
  <dcterms:created xsi:type="dcterms:W3CDTF">2024-03-04T04:23:00Z</dcterms:created>
  <dcterms:modified xsi:type="dcterms:W3CDTF">2024-03-26T07:50:00Z</dcterms:modified>
</cp:coreProperties>
</file>