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F486" w14:textId="77777777" w:rsidR="0012142D" w:rsidRPr="0012142D" w:rsidRDefault="0012142D" w:rsidP="0012142D">
      <w:pPr>
        <w:keepNext/>
        <w:keepLines/>
        <w:spacing w:before="240" w:after="0" w:line="276" w:lineRule="auto"/>
        <w:jc w:val="center"/>
        <w:outlineLvl w:val="0"/>
        <w:rPr>
          <w:rFonts w:ascii="Times New Roman" w:eastAsia="Times New Roman" w:hAnsi="Times New Roman" w:cs="Times New Roman"/>
          <w:b/>
          <w:color w:val="000000"/>
          <w:kern w:val="0"/>
          <w:sz w:val="24"/>
          <w:szCs w:val="32"/>
          <w:lang w:val="en-US"/>
          <w14:ligatures w14:val="none"/>
        </w:rPr>
      </w:pPr>
      <w:bookmarkStart w:id="0" w:name="_Toc146482472"/>
      <w:r w:rsidRPr="0012142D">
        <w:rPr>
          <w:rFonts w:ascii="Times New Roman" w:eastAsia="Times New Roman" w:hAnsi="Times New Roman" w:cs="Times New Roman"/>
          <w:b/>
          <w:color w:val="000000"/>
          <w:kern w:val="0"/>
          <w:sz w:val="24"/>
          <w:szCs w:val="32"/>
          <w:lang w:val="en-US"/>
          <w14:ligatures w14:val="none"/>
        </w:rPr>
        <w:t>ABSTRAK</w:t>
      </w:r>
      <w:bookmarkEnd w:id="0"/>
    </w:p>
    <w:p w14:paraId="55B9A733" w14:textId="77777777" w:rsidR="0012142D" w:rsidRPr="0012142D" w:rsidRDefault="0012142D" w:rsidP="0012142D">
      <w:pPr>
        <w:spacing w:after="200" w:line="276" w:lineRule="auto"/>
        <w:rPr>
          <w:rFonts w:ascii="Calibri" w:eastAsia="Calibri" w:hAnsi="Calibri" w:cs="Times New Roman"/>
          <w:kern w:val="0"/>
          <w:lang w:val="en-US"/>
          <w14:ligatures w14:val="none"/>
        </w:rPr>
      </w:pPr>
    </w:p>
    <w:p w14:paraId="7970E20C" w14:textId="70EB67A2" w:rsidR="0012142D" w:rsidRPr="0012142D" w:rsidRDefault="0012142D" w:rsidP="0012142D">
      <w:pPr>
        <w:tabs>
          <w:tab w:val="center" w:pos="3969"/>
        </w:tabs>
        <w:spacing w:after="200" w:line="276" w:lineRule="auto"/>
        <w:jc w:val="both"/>
        <w:rPr>
          <w:rFonts w:ascii="Times New Roman" w:eastAsia="Calibri" w:hAnsi="Times New Roman" w:cs="Times New Roman"/>
          <w:kern w:val="0"/>
          <w:sz w:val="24"/>
          <w:szCs w:val="24"/>
          <w:lang w:val="en-US"/>
          <w14:ligatures w14:val="none"/>
        </w:rPr>
      </w:pPr>
      <w:r w:rsidRPr="0012142D">
        <w:rPr>
          <w:rFonts w:ascii="Times New Roman" w:eastAsia="Calibri" w:hAnsi="Times New Roman" w:cs="Times New Roman"/>
          <w:kern w:val="0"/>
          <w:sz w:val="24"/>
          <w:szCs w:val="24"/>
          <w:lang w:val="en-US"/>
          <w14:ligatures w14:val="none"/>
        </w:rPr>
        <w:t xml:space="preserve">APRILISA SINAGA. Pengaruh </w:t>
      </w:r>
      <w:r w:rsidRPr="0012142D">
        <w:rPr>
          <w:rFonts w:ascii="Times New Roman" w:eastAsia="Calibri" w:hAnsi="Times New Roman" w:cs="Times New Roman"/>
          <w:iCs/>
          <w:kern w:val="0"/>
          <w:sz w:val="24"/>
          <w:szCs w:val="24"/>
          <w:lang w:val="en-US"/>
          <w14:ligatures w14:val="none"/>
        </w:rPr>
        <w:t>Intensitas Aset Tetap,</w:t>
      </w:r>
      <w:r w:rsidRPr="0012142D">
        <w:rPr>
          <w:rFonts w:ascii="Times New Roman" w:eastAsia="Calibri" w:hAnsi="Times New Roman" w:cs="Times New Roman"/>
          <w:kern w:val="0"/>
          <w:sz w:val="24"/>
          <w:szCs w:val="24"/>
          <w:lang w:val="en-US"/>
          <w14:ligatures w14:val="none"/>
        </w:rPr>
        <w:t xml:space="preserve"> </w:t>
      </w:r>
      <w:r w:rsidRPr="0012142D">
        <w:rPr>
          <w:rFonts w:ascii="Times New Roman" w:eastAsia="Calibri" w:hAnsi="Times New Roman" w:cs="Times New Roman"/>
          <w:i/>
          <w:iCs/>
          <w:kern w:val="0"/>
          <w:sz w:val="24"/>
          <w:szCs w:val="24"/>
          <w:lang w:val="en-US"/>
          <w14:ligatures w14:val="none"/>
        </w:rPr>
        <w:t>Leverage</w:t>
      </w:r>
      <w:r w:rsidRPr="0012142D">
        <w:rPr>
          <w:rFonts w:ascii="Times New Roman" w:eastAsia="Calibri" w:hAnsi="Times New Roman" w:cs="Times New Roman"/>
          <w:kern w:val="0"/>
          <w:sz w:val="24"/>
          <w:szCs w:val="24"/>
          <w:lang w:val="en-US"/>
          <w14:ligatures w14:val="none"/>
        </w:rPr>
        <w:t>, Ukuran Perusahaan, dan Komisaris Independen Terhadap Manajemen Pajak pada perusahaan sektor pertambangan periode 2018-2021 yang terdaftar di Bursa Efek Indonesia. Di bawah bimbingan SRI SETIA NINGSIH</w:t>
      </w:r>
      <w:r w:rsidR="00C01CFF">
        <w:rPr>
          <w:rFonts w:ascii="Times New Roman" w:eastAsia="Calibri" w:hAnsi="Times New Roman" w:cs="Times New Roman"/>
          <w:kern w:val="0"/>
          <w:sz w:val="24"/>
          <w:szCs w:val="24"/>
          <w:lang w:val="id-ID"/>
          <w14:ligatures w14:val="none"/>
        </w:rPr>
        <w:t xml:space="preserve"> </w:t>
      </w:r>
      <w:r w:rsidRPr="0012142D">
        <w:rPr>
          <w:rFonts w:ascii="Times New Roman" w:eastAsia="Calibri" w:hAnsi="Times New Roman" w:cs="Times New Roman"/>
          <w:kern w:val="0"/>
          <w:sz w:val="24"/>
          <w:szCs w:val="24"/>
          <w:lang w:val="en-US"/>
          <w14:ligatures w14:val="none"/>
        </w:rPr>
        <w:t xml:space="preserve">Penelitian ini untuk menguji dan menganalisis faktor-faktor yang mempengaruhi manajemen pajak. Berdasarkan metode yang digunakan, penelitian ini termasuk ke dalam penelitian kuantitatif. Teknik pengambilan sampel menggunakan metode </w:t>
      </w:r>
      <w:r w:rsidRPr="0012142D">
        <w:rPr>
          <w:rFonts w:ascii="Times New Roman" w:eastAsia="Calibri" w:hAnsi="Times New Roman" w:cs="Times New Roman"/>
          <w:i/>
          <w:kern w:val="0"/>
          <w:sz w:val="24"/>
          <w:szCs w:val="24"/>
          <w:lang w:val="en-US"/>
          <w14:ligatures w14:val="none"/>
        </w:rPr>
        <w:t>purposive sampling</w:t>
      </w:r>
      <w:r w:rsidRPr="0012142D">
        <w:rPr>
          <w:rFonts w:ascii="Times New Roman" w:eastAsia="Calibri" w:hAnsi="Times New Roman" w:cs="Times New Roman"/>
          <w:kern w:val="0"/>
          <w:sz w:val="24"/>
          <w:szCs w:val="24"/>
          <w:lang w:val="en-US"/>
          <w14:ligatures w14:val="none"/>
        </w:rPr>
        <w:t>, sehingga diperoleh sebanyak 6 perusahaan yang memenuhi kriteria. Dalam analisis ini menggunakan ETR (Effective Tax Rate) sebagai indikator dalam manajemen pajak. Data penelitian ini dianalisis dengan SPSS versi 25 menggunakan uji statistik deskriptif, uji asumsi klasik, uji analisis regresi linier berganda dan uji hipotesis.</w:t>
      </w:r>
      <w:r w:rsidR="00C01CFF">
        <w:rPr>
          <w:rFonts w:ascii="Times New Roman" w:eastAsia="Calibri" w:hAnsi="Times New Roman" w:cs="Times New Roman"/>
          <w:kern w:val="0"/>
          <w:sz w:val="24"/>
          <w:szCs w:val="24"/>
          <w:lang w:val="id-ID"/>
          <w14:ligatures w14:val="none"/>
        </w:rPr>
        <w:t xml:space="preserve"> </w:t>
      </w:r>
      <w:r w:rsidRPr="0012142D">
        <w:rPr>
          <w:rFonts w:ascii="Times New Roman" w:eastAsia="Calibri" w:hAnsi="Times New Roman" w:cs="Times New Roman"/>
          <w:kern w:val="0"/>
          <w:sz w:val="24"/>
          <w:szCs w:val="24"/>
          <w:lang w:val="en-US"/>
          <w14:ligatures w14:val="none"/>
        </w:rPr>
        <w:t xml:space="preserve">Hasil dari penelitian membuktikan bahwa intensitas aset tetap, </w:t>
      </w:r>
      <w:r w:rsidRPr="0012142D">
        <w:rPr>
          <w:rFonts w:ascii="Times New Roman" w:eastAsia="Calibri" w:hAnsi="Times New Roman" w:cs="Times New Roman"/>
          <w:i/>
          <w:iCs/>
          <w:kern w:val="0"/>
          <w:sz w:val="24"/>
          <w:szCs w:val="24"/>
          <w:lang w:val="en-US"/>
          <w14:ligatures w14:val="none"/>
        </w:rPr>
        <w:t xml:space="preserve">leverage </w:t>
      </w:r>
      <w:r w:rsidRPr="0012142D">
        <w:rPr>
          <w:rFonts w:ascii="Times New Roman" w:eastAsia="Calibri" w:hAnsi="Times New Roman" w:cs="Times New Roman"/>
          <w:kern w:val="0"/>
          <w:sz w:val="24"/>
          <w:szCs w:val="24"/>
          <w:lang w:val="en-US"/>
          <w14:ligatures w14:val="none"/>
        </w:rPr>
        <w:t xml:space="preserve">tidak berpengaruh terhadap manajemen pajak dengan masing masing perolehan nilai sig 0.282 &gt; 0.05 dan 0.101 &gt; 0.05. Sedangkan, Ukuran perusahaan berpengaruh positif signifikan terhadap manajemen pajak dengan nilai sig 0.027 &lt; 0.05 dan komisaris independen berpengaruh negatif terhadap manajemen pajak dengan nilai sig 0.006 &lt; 0.05. Sementara, secara simultan intensitas aset tetap, </w:t>
      </w:r>
      <w:r w:rsidRPr="0012142D">
        <w:rPr>
          <w:rFonts w:ascii="Times New Roman" w:eastAsia="Calibri" w:hAnsi="Times New Roman" w:cs="Times New Roman"/>
          <w:i/>
          <w:iCs/>
          <w:kern w:val="0"/>
          <w:sz w:val="24"/>
          <w:szCs w:val="24"/>
          <w:lang w:val="en-US"/>
          <w14:ligatures w14:val="none"/>
        </w:rPr>
        <w:t>leverage</w:t>
      </w:r>
      <w:r w:rsidRPr="0012142D">
        <w:rPr>
          <w:rFonts w:ascii="Times New Roman" w:eastAsia="Calibri" w:hAnsi="Times New Roman" w:cs="Times New Roman"/>
          <w:kern w:val="0"/>
          <w:sz w:val="24"/>
          <w:szCs w:val="24"/>
          <w:lang w:val="en-US"/>
          <w14:ligatures w14:val="none"/>
        </w:rPr>
        <w:t>, ukuran perusahaan, komisaris independen berpengaruh terhadap manajemen pajak dengan nilai sig 0.006 &lt; 0.05.</w:t>
      </w:r>
    </w:p>
    <w:p w14:paraId="7A9CF266" w14:textId="77777777" w:rsidR="0012142D" w:rsidRPr="0012142D" w:rsidRDefault="0012142D" w:rsidP="0012142D">
      <w:pPr>
        <w:spacing w:after="0" w:line="360" w:lineRule="auto"/>
        <w:jc w:val="both"/>
        <w:rPr>
          <w:rFonts w:ascii="Times New Roman" w:eastAsia="Calibri" w:hAnsi="Times New Roman" w:cs="Times New Roman"/>
          <w:b/>
          <w:iCs/>
          <w:kern w:val="0"/>
          <w:sz w:val="24"/>
          <w:szCs w:val="24"/>
          <w:lang w:val="en-US"/>
          <w14:ligatures w14:val="none"/>
        </w:rPr>
      </w:pPr>
      <w:r w:rsidRPr="0012142D">
        <w:rPr>
          <w:rFonts w:ascii="Times New Roman" w:eastAsia="Calibri" w:hAnsi="Times New Roman" w:cs="Times New Roman"/>
          <w:b/>
          <w:kern w:val="0"/>
          <w:sz w:val="24"/>
          <w:szCs w:val="24"/>
          <w:lang w:val="en-US"/>
          <w14:ligatures w14:val="none"/>
        </w:rPr>
        <w:t xml:space="preserve">Kata Kunci: </w:t>
      </w:r>
      <w:r w:rsidRPr="0012142D">
        <w:rPr>
          <w:rFonts w:ascii="Times New Roman" w:eastAsia="Calibri" w:hAnsi="Times New Roman" w:cs="Times New Roman"/>
          <w:b/>
          <w:iCs/>
          <w:kern w:val="0"/>
          <w:sz w:val="24"/>
          <w:szCs w:val="24"/>
          <w:lang w:val="en-US"/>
          <w14:ligatures w14:val="none"/>
        </w:rPr>
        <w:t xml:space="preserve">Manajemen Pajak, Intensitas Aset Tetap, </w:t>
      </w:r>
      <w:r w:rsidRPr="0012142D">
        <w:rPr>
          <w:rFonts w:ascii="Times New Roman" w:eastAsia="Calibri" w:hAnsi="Times New Roman" w:cs="Times New Roman"/>
          <w:b/>
          <w:i/>
          <w:kern w:val="0"/>
          <w:sz w:val="24"/>
          <w:szCs w:val="24"/>
          <w:lang w:val="en-US"/>
          <w14:ligatures w14:val="none"/>
        </w:rPr>
        <w:t>Leverage</w:t>
      </w:r>
      <w:r w:rsidRPr="0012142D">
        <w:rPr>
          <w:rFonts w:ascii="Times New Roman" w:eastAsia="Calibri" w:hAnsi="Times New Roman" w:cs="Times New Roman"/>
          <w:b/>
          <w:iCs/>
          <w:kern w:val="0"/>
          <w:sz w:val="24"/>
          <w:szCs w:val="24"/>
          <w:lang w:val="en-US"/>
          <w14:ligatures w14:val="none"/>
        </w:rPr>
        <w:t>, Ukuran Perusahaan, Komisaris Independen.</w:t>
      </w:r>
    </w:p>
    <w:p w14:paraId="720C1FA0" w14:textId="77777777" w:rsidR="0012142D" w:rsidRPr="0012142D" w:rsidRDefault="0012142D" w:rsidP="0012142D">
      <w:pPr>
        <w:tabs>
          <w:tab w:val="center" w:pos="3969"/>
        </w:tabs>
        <w:spacing w:after="200" w:line="276" w:lineRule="auto"/>
        <w:rPr>
          <w:rFonts w:ascii="Times New Roman" w:eastAsia="Calibri" w:hAnsi="Times New Roman" w:cs="Times New Roman"/>
          <w:kern w:val="0"/>
          <w:sz w:val="24"/>
          <w:szCs w:val="24"/>
          <w:lang w:val="en-US"/>
          <w14:ligatures w14:val="none"/>
        </w:rPr>
      </w:pPr>
    </w:p>
    <w:p w14:paraId="56261E9B" w14:textId="77777777" w:rsidR="0012142D" w:rsidRPr="0012142D" w:rsidRDefault="0012142D" w:rsidP="0012142D">
      <w:pPr>
        <w:tabs>
          <w:tab w:val="center" w:pos="3969"/>
        </w:tabs>
        <w:spacing w:after="200" w:line="276" w:lineRule="auto"/>
        <w:rPr>
          <w:rFonts w:ascii="Times New Roman" w:eastAsia="Calibri" w:hAnsi="Times New Roman" w:cs="Times New Roman"/>
          <w:kern w:val="0"/>
          <w:sz w:val="24"/>
          <w:szCs w:val="24"/>
          <w:lang w:val="en-US"/>
          <w14:ligatures w14:val="none"/>
        </w:rPr>
      </w:pPr>
    </w:p>
    <w:p w14:paraId="0F71064A" w14:textId="77777777" w:rsidR="0012142D" w:rsidRPr="0012142D" w:rsidRDefault="0012142D" w:rsidP="0012142D">
      <w:pPr>
        <w:tabs>
          <w:tab w:val="center" w:pos="3969"/>
        </w:tabs>
        <w:spacing w:after="200" w:line="276" w:lineRule="auto"/>
        <w:rPr>
          <w:rFonts w:ascii="Times New Roman" w:eastAsia="Calibri" w:hAnsi="Times New Roman" w:cs="Times New Roman"/>
          <w:kern w:val="0"/>
          <w:sz w:val="24"/>
          <w:szCs w:val="24"/>
          <w:lang w:val="en-US"/>
          <w14:ligatures w14:val="none"/>
        </w:rPr>
      </w:pPr>
    </w:p>
    <w:p w14:paraId="7E0B0086" w14:textId="77777777" w:rsidR="0012142D" w:rsidRPr="0012142D" w:rsidRDefault="0012142D" w:rsidP="0012142D">
      <w:pPr>
        <w:tabs>
          <w:tab w:val="center" w:pos="3969"/>
        </w:tabs>
        <w:spacing w:after="200" w:line="276" w:lineRule="auto"/>
        <w:rPr>
          <w:rFonts w:ascii="Times New Roman" w:eastAsia="Calibri" w:hAnsi="Times New Roman" w:cs="Times New Roman"/>
          <w:kern w:val="0"/>
          <w:sz w:val="24"/>
          <w:szCs w:val="24"/>
          <w:lang w:val="en-US"/>
          <w14:ligatures w14:val="none"/>
        </w:rPr>
      </w:pPr>
    </w:p>
    <w:p w14:paraId="07200500" w14:textId="77777777" w:rsidR="0012142D" w:rsidRPr="0012142D" w:rsidRDefault="0012142D" w:rsidP="0012142D">
      <w:pPr>
        <w:tabs>
          <w:tab w:val="center" w:pos="3969"/>
        </w:tabs>
        <w:spacing w:after="200" w:line="276" w:lineRule="auto"/>
        <w:rPr>
          <w:rFonts w:ascii="Times New Roman" w:eastAsia="Calibri" w:hAnsi="Times New Roman" w:cs="Times New Roman"/>
          <w:kern w:val="0"/>
          <w:sz w:val="24"/>
          <w:szCs w:val="24"/>
          <w:lang w:val="en-US"/>
          <w14:ligatures w14:val="none"/>
        </w:rPr>
      </w:pPr>
    </w:p>
    <w:p w14:paraId="1D4BFEED" w14:textId="11F3A95E" w:rsidR="00C01CFF" w:rsidRDefault="00C01CFF">
      <w:pPr>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br w:type="page"/>
      </w:r>
    </w:p>
    <w:p w14:paraId="4BB523D6" w14:textId="77777777" w:rsidR="0012142D" w:rsidRPr="0012142D" w:rsidRDefault="0012142D" w:rsidP="0012142D">
      <w:pPr>
        <w:tabs>
          <w:tab w:val="center" w:pos="3969"/>
        </w:tabs>
        <w:spacing w:after="200" w:line="276" w:lineRule="auto"/>
        <w:rPr>
          <w:rFonts w:ascii="Times New Roman" w:eastAsia="Calibri" w:hAnsi="Times New Roman" w:cs="Times New Roman"/>
          <w:kern w:val="0"/>
          <w:sz w:val="24"/>
          <w:szCs w:val="24"/>
          <w:lang w:val="en-US"/>
          <w14:ligatures w14:val="none"/>
        </w:rPr>
      </w:pPr>
    </w:p>
    <w:p w14:paraId="077F8538" w14:textId="77777777" w:rsidR="0012142D" w:rsidRPr="0012142D" w:rsidRDefault="0012142D" w:rsidP="0012142D">
      <w:pPr>
        <w:keepNext/>
        <w:keepLines/>
        <w:spacing w:before="240" w:after="0" w:line="276" w:lineRule="auto"/>
        <w:jc w:val="center"/>
        <w:outlineLvl w:val="0"/>
        <w:rPr>
          <w:rFonts w:ascii="Times New Roman" w:eastAsia="Times New Roman" w:hAnsi="Times New Roman" w:cs="Times New Roman"/>
          <w:b/>
          <w:color w:val="000000"/>
          <w:kern w:val="0"/>
          <w:sz w:val="24"/>
          <w:szCs w:val="32"/>
          <w:lang w:val="en-US"/>
          <w14:ligatures w14:val="none"/>
        </w:rPr>
      </w:pPr>
      <w:bookmarkStart w:id="1" w:name="_Toc146482473"/>
      <w:r w:rsidRPr="0012142D">
        <w:rPr>
          <w:rFonts w:ascii="Times New Roman" w:eastAsia="Times New Roman" w:hAnsi="Times New Roman" w:cs="Times New Roman"/>
          <w:b/>
          <w:color w:val="000000"/>
          <w:kern w:val="0"/>
          <w:sz w:val="24"/>
          <w:szCs w:val="32"/>
          <w:lang w:val="en-US"/>
          <w14:ligatures w14:val="none"/>
        </w:rPr>
        <w:t>ABSTRACT</w:t>
      </w:r>
      <w:bookmarkEnd w:id="1"/>
    </w:p>
    <w:p w14:paraId="422674E2" w14:textId="77777777" w:rsidR="0012142D" w:rsidRPr="0012142D" w:rsidRDefault="0012142D" w:rsidP="0012142D">
      <w:pPr>
        <w:spacing w:after="200" w:line="276" w:lineRule="auto"/>
        <w:rPr>
          <w:rFonts w:ascii="Calibri" w:eastAsia="Calibri" w:hAnsi="Calibri" w:cs="Times New Roman"/>
          <w:kern w:val="0"/>
          <w:lang w:val="en-US"/>
          <w14:ligatures w14:val="none"/>
        </w:rPr>
      </w:pPr>
    </w:p>
    <w:p w14:paraId="72E5C858" w14:textId="3E8B7A22" w:rsidR="0012142D" w:rsidRPr="00C01CFF" w:rsidRDefault="0012142D" w:rsidP="0012142D">
      <w:pPr>
        <w:tabs>
          <w:tab w:val="center" w:pos="3969"/>
        </w:tabs>
        <w:spacing w:after="200" w:line="276" w:lineRule="auto"/>
        <w:jc w:val="both"/>
        <w:rPr>
          <w:rFonts w:ascii="Times New Roman" w:eastAsia="Calibri" w:hAnsi="Times New Roman" w:cs="Times New Roman"/>
          <w:kern w:val="0"/>
          <w:sz w:val="24"/>
          <w:szCs w:val="24"/>
          <w14:ligatures w14:val="none"/>
        </w:rPr>
      </w:pPr>
      <w:r w:rsidRPr="0012142D">
        <w:rPr>
          <w:rFonts w:ascii="Times New Roman" w:eastAsia="Calibri" w:hAnsi="Times New Roman" w:cs="Times New Roman"/>
          <w:kern w:val="0"/>
          <w:sz w:val="24"/>
          <w:szCs w:val="24"/>
          <w:lang w:val="en"/>
          <w14:ligatures w14:val="none"/>
        </w:rPr>
        <w:t>APRILISA SINAGA. The Influence of Fixed Asset Intensity, Leverage, Company Size, and Independent Commissioners on Tax Management in mining sector companies for the 2018-2021 period listed on the Indonesia Stock Exchange. Under the guidance of SRI SETIA NINGSIH</w:t>
      </w:r>
      <w:r w:rsidRPr="0012142D">
        <w:rPr>
          <w:rFonts w:ascii="Times New Roman" w:eastAsia="Calibri" w:hAnsi="Times New Roman" w:cs="Times New Roman"/>
          <w:kern w:val="0"/>
          <w:sz w:val="24"/>
          <w:szCs w:val="24"/>
          <w14:ligatures w14:val="none"/>
        </w:rPr>
        <w:t>.</w:t>
      </w:r>
      <w:r w:rsidR="00C01CFF">
        <w:rPr>
          <w:rFonts w:ascii="Times New Roman" w:eastAsia="Calibri" w:hAnsi="Times New Roman" w:cs="Times New Roman"/>
          <w:kern w:val="0"/>
          <w:sz w:val="24"/>
          <w:szCs w:val="24"/>
          <w:lang w:val="id-ID"/>
          <w14:ligatures w14:val="none"/>
        </w:rPr>
        <w:t xml:space="preserve"> </w:t>
      </w:r>
      <w:r w:rsidRPr="0012142D">
        <w:rPr>
          <w:rFonts w:ascii="Times New Roman" w:eastAsia="Calibri" w:hAnsi="Times New Roman" w:cs="Times New Roman"/>
          <w:kern w:val="0"/>
          <w:sz w:val="24"/>
          <w:szCs w:val="24"/>
          <w:lang w:val="en"/>
          <w14:ligatures w14:val="none"/>
        </w:rPr>
        <w:t>This research is to examine and analyze the factors that influence tax management. Based on the method used, this research is included in the quantitative research. The sampling technique used purposive sampling method, in order to obtain as many as 6 companies that meet the criteria. In this analysis using ETR (Effective Tax Rate) as an indicator in tax management. The research data were analyzed using SPSS version 25 using descriptive statistical tests, classical assumption tests, multiple linear regression analysis tests and hypothesis testing.</w:t>
      </w:r>
      <w:r w:rsidR="00C01CFF">
        <w:rPr>
          <w:rFonts w:ascii="Times New Roman" w:eastAsia="Calibri" w:hAnsi="Times New Roman" w:cs="Times New Roman"/>
          <w:kern w:val="0"/>
          <w:sz w:val="24"/>
          <w:szCs w:val="24"/>
          <w:lang w:val="id-ID"/>
          <w14:ligatures w14:val="none"/>
        </w:rPr>
        <w:t xml:space="preserve"> </w:t>
      </w:r>
      <w:r w:rsidRPr="0012142D">
        <w:rPr>
          <w:rFonts w:ascii="Times New Roman" w:eastAsia="Calibri" w:hAnsi="Times New Roman" w:cs="Times New Roman"/>
          <w:kern w:val="0"/>
          <w:sz w:val="24"/>
          <w:szCs w:val="24"/>
          <w:lang w:val="en"/>
          <w14:ligatures w14:val="none"/>
        </w:rPr>
        <w:t>The results of the study prove that the intensity of fixed assets, leverage has no effect on tax management with each acquisition of sig 0.282 &gt; 0.05 and 0.101 &gt; 0.05. Meanwhile, company size has a significant positive effect on tax management with a sig value of 0.027 &lt;0.05 and independent commissioners have a negative effect on tax management with a sig value of 0.006 &lt;0.05. Meanwhile, simultaneously the intensity of fixed assets, leverage, company size, independent commissioners have an effect on tax management with a sig value of 0.006 &lt;0.05.</w:t>
      </w:r>
    </w:p>
    <w:p w14:paraId="7443D28C" w14:textId="77777777" w:rsidR="0012142D" w:rsidRPr="0012142D" w:rsidRDefault="0012142D" w:rsidP="0012142D">
      <w:pPr>
        <w:tabs>
          <w:tab w:val="center" w:pos="3969"/>
        </w:tabs>
        <w:spacing w:after="200" w:line="276" w:lineRule="auto"/>
        <w:jc w:val="both"/>
        <w:rPr>
          <w:rFonts w:ascii="Times New Roman" w:eastAsia="Calibri" w:hAnsi="Times New Roman" w:cs="Times New Roman"/>
          <w:b/>
          <w:bCs/>
          <w:i/>
          <w:iCs/>
          <w:kern w:val="0"/>
          <w:sz w:val="24"/>
          <w:szCs w:val="24"/>
          <w14:ligatures w14:val="none"/>
        </w:rPr>
      </w:pPr>
      <w:r w:rsidRPr="0012142D">
        <w:rPr>
          <w:rFonts w:ascii="Times New Roman" w:eastAsia="Calibri" w:hAnsi="Times New Roman" w:cs="Times New Roman"/>
          <w:b/>
          <w:bCs/>
          <w:i/>
          <w:iCs/>
          <w:kern w:val="0"/>
          <w:sz w:val="24"/>
          <w:szCs w:val="24"/>
          <w:lang w:val="en"/>
          <w14:ligatures w14:val="none"/>
        </w:rPr>
        <w:t>Keywords: Tax Management, Fixed Asset Intensity, Leverage, Company Size, Independent Commissioner.</w:t>
      </w:r>
    </w:p>
    <w:p w14:paraId="2FD582DD" w14:textId="5B2F5F55" w:rsidR="00AF4B94" w:rsidRDefault="00AF4B94"/>
    <w:sectPr w:rsidR="00AF4B94" w:rsidSect="0012142D">
      <w:headerReference w:type="even" r:id="rId6"/>
      <w:headerReference w:type="default" r:id="rId7"/>
      <w:footerReference w:type="even" r:id="rId8"/>
      <w:footerReference w:type="default" r:id="rId9"/>
      <w:headerReference w:type="first" r:id="rId10"/>
      <w:footerReference w:type="first" r:id="rId11"/>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2229" w14:textId="77777777" w:rsidR="00BA7A80" w:rsidRDefault="00BA7A80" w:rsidP="00105BA5">
      <w:pPr>
        <w:spacing w:after="0" w:line="240" w:lineRule="auto"/>
      </w:pPr>
      <w:r>
        <w:separator/>
      </w:r>
    </w:p>
  </w:endnote>
  <w:endnote w:type="continuationSeparator" w:id="0">
    <w:p w14:paraId="2CCBE147" w14:textId="77777777" w:rsidR="00BA7A80" w:rsidRDefault="00BA7A80" w:rsidP="0010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5205" w14:textId="77777777" w:rsidR="00105BA5" w:rsidRDefault="00105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85DB" w14:textId="77777777" w:rsidR="00105BA5" w:rsidRDefault="00105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4AEC" w14:textId="77777777" w:rsidR="00105BA5" w:rsidRDefault="00105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8BCB" w14:textId="77777777" w:rsidR="00BA7A80" w:rsidRDefault="00BA7A80" w:rsidP="00105BA5">
      <w:pPr>
        <w:spacing w:after="0" w:line="240" w:lineRule="auto"/>
      </w:pPr>
      <w:r>
        <w:separator/>
      </w:r>
    </w:p>
  </w:footnote>
  <w:footnote w:type="continuationSeparator" w:id="0">
    <w:p w14:paraId="31A9EBFE" w14:textId="77777777" w:rsidR="00BA7A80" w:rsidRDefault="00BA7A80" w:rsidP="00105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3A9C" w14:textId="785C4703" w:rsidR="00105BA5" w:rsidRDefault="00105BA5">
    <w:pPr>
      <w:pStyle w:val="Header"/>
    </w:pPr>
    <w:r>
      <w:rPr>
        <w:noProof/>
      </w:rPr>
      <w:pict w14:anchorId="071D3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33425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D880" w14:textId="0747BC71" w:rsidR="00105BA5" w:rsidRDefault="00105BA5">
    <w:pPr>
      <w:pStyle w:val="Header"/>
    </w:pPr>
    <w:r>
      <w:rPr>
        <w:noProof/>
      </w:rPr>
      <w:pict w14:anchorId="66150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33425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58E8" w14:textId="2B845247" w:rsidR="00105BA5" w:rsidRDefault="00105BA5">
    <w:pPr>
      <w:pStyle w:val="Header"/>
    </w:pPr>
    <w:r>
      <w:rPr>
        <w:noProof/>
      </w:rPr>
      <w:pict w14:anchorId="0E554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33425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42D"/>
    <w:rsid w:val="0000090F"/>
    <w:rsid w:val="00105BA5"/>
    <w:rsid w:val="0012142D"/>
    <w:rsid w:val="001B49BE"/>
    <w:rsid w:val="002C54DE"/>
    <w:rsid w:val="004D392A"/>
    <w:rsid w:val="00933F84"/>
    <w:rsid w:val="00962FFC"/>
    <w:rsid w:val="00AF4B94"/>
    <w:rsid w:val="00BA7A80"/>
    <w:rsid w:val="00C01CFF"/>
    <w:rsid w:val="00EA22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CDA4"/>
  <w15:docId w15:val="{8842DDA5-FFA5-46C0-A6FE-A4951C6F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BA5"/>
  </w:style>
  <w:style w:type="paragraph" w:styleId="Footer">
    <w:name w:val="footer"/>
    <w:basedOn w:val="Normal"/>
    <w:link w:val="FooterChar"/>
    <w:uiPriority w:val="99"/>
    <w:unhideWhenUsed/>
    <w:rsid w:val="00105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Aprilisasinaga</dc:creator>
  <cp:lastModifiedBy>tsuraya ulfah</cp:lastModifiedBy>
  <cp:revision>3</cp:revision>
  <dcterms:created xsi:type="dcterms:W3CDTF">2023-09-27T09:18:00Z</dcterms:created>
  <dcterms:modified xsi:type="dcterms:W3CDTF">2023-10-17T01:39:00Z</dcterms:modified>
</cp:coreProperties>
</file>