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EDD4" w14:textId="3C564EC0" w:rsidR="00CF49E6" w:rsidRPr="00CF49E6" w:rsidRDefault="00CF49E6" w:rsidP="00CF49E6">
      <w:pPr>
        <w:pStyle w:val="Heading1"/>
        <w:spacing w:before="0" w:after="240" w:line="360" w:lineRule="auto"/>
        <w:ind w:left="0" w:firstLine="0"/>
        <w:rPr>
          <w:rFonts w:cs="Times New Roman"/>
          <w:szCs w:val="24"/>
        </w:rPr>
      </w:pPr>
      <w:r w:rsidRPr="00D05B8C">
        <w:rPr>
          <w:rFonts w:cs="Times New Roman"/>
          <w:szCs w:val="24"/>
        </w:rPr>
        <w:br/>
      </w:r>
      <w:bookmarkStart w:id="0" w:name="_Toc142035894"/>
      <w:bookmarkStart w:id="1" w:name="_Toc146576237"/>
      <w:r w:rsidRPr="00D05B8C">
        <w:rPr>
          <w:rFonts w:cs="Times New Roman"/>
          <w:szCs w:val="24"/>
        </w:rPr>
        <w:t>PENDAHULUAN</w:t>
      </w:r>
      <w:bookmarkEnd w:id="0"/>
      <w:bookmarkEnd w:id="1"/>
    </w:p>
    <w:p w14:paraId="4944C531" w14:textId="77777777" w:rsidR="00CF49E6" w:rsidRPr="00D05B8C" w:rsidRDefault="00CF49E6" w:rsidP="00CF49E6">
      <w:pPr>
        <w:pStyle w:val="Heading2"/>
        <w:spacing w:line="360" w:lineRule="auto"/>
        <w:jc w:val="both"/>
        <w:rPr>
          <w:rFonts w:cs="Times New Roman"/>
          <w:szCs w:val="24"/>
        </w:rPr>
      </w:pPr>
      <w:bookmarkStart w:id="2" w:name="_Toc142035895"/>
      <w:bookmarkStart w:id="3" w:name="_Toc146576238"/>
      <w:r w:rsidRPr="00D05B8C">
        <w:rPr>
          <w:rFonts w:cs="Times New Roman"/>
          <w:szCs w:val="24"/>
        </w:rPr>
        <w:t xml:space="preserve">Latar </w:t>
      </w:r>
      <w:proofErr w:type="spellStart"/>
      <w:r w:rsidRPr="00D05B8C">
        <w:rPr>
          <w:rFonts w:cs="Times New Roman"/>
          <w:szCs w:val="24"/>
        </w:rPr>
        <w:t>Belakang</w:t>
      </w:r>
      <w:bookmarkEnd w:id="2"/>
      <w:bookmarkEnd w:id="3"/>
      <w:proofErr w:type="spellEnd"/>
    </w:p>
    <w:p w14:paraId="6E4DC735" w14:textId="77777777" w:rsidR="00CF49E6" w:rsidRPr="00D05B8C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4944966"/>
      <w:r w:rsidRPr="00D05B8C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Melalui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rakyat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juga sangat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bisa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melalui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</w:p>
    <w:p w14:paraId="38E0375D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376">
        <w:rPr>
          <w:rFonts w:ascii="Times New Roman" w:hAnsi="Times New Roman" w:cs="Times New Roman"/>
          <w:sz w:val="24"/>
          <w:szCs w:val="24"/>
        </w:rPr>
        <w:t>Pajak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76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86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7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6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76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863376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86337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6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37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6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376">
        <w:rPr>
          <w:rFonts w:ascii="Times New Roman" w:hAnsi="Times New Roman" w:cs="Times New Roman"/>
          <w:sz w:val="24"/>
          <w:szCs w:val="24"/>
        </w:rPr>
        <w:t xml:space="preserve">negara. Oleh </w:t>
      </w:r>
      <w:proofErr w:type="spellStart"/>
      <w:r w:rsidRPr="0086337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63376">
        <w:rPr>
          <w:rFonts w:ascii="Times New Roman" w:hAnsi="Times New Roman" w:cs="Times New Roman"/>
          <w:sz w:val="24"/>
          <w:szCs w:val="24"/>
        </w:rPr>
        <w:t xml:space="preserve"> itu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self-assessment system</w:t>
      </w:r>
      <w:r w:rsidRPr="00D05B8C">
        <w:rPr>
          <w:rFonts w:ascii="Times New Roman" w:hAnsi="Times New Roman" w:cs="Times New Roman"/>
          <w:sz w:val="24"/>
          <w:szCs w:val="24"/>
        </w:rPr>
        <w:t xml:space="preserve"> dalam proses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tersebut belum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</w:p>
    <w:p w14:paraId="0CB8AF0C" w14:textId="77777777" w:rsidR="00CF49E6" w:rsidRPr="00D05B8C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belum optimal,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penyumbang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terpungut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6E7A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A0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E7A07">
        <w:rPr>
          <w:rFonts w:ascii="Times New Roman" w:hAnsi="Times New Roman" w:cs="Times New Roman"/>
          <w:sz w:val="24"/>
          <w:szCs w:val="24"/>
        </w:rPr>
        <w:t xml:space="preserve"> yang </w:t>
      </w:r>
      <w:r w:rsidRPr="006E7A07">
        <w:rPr>
          <w:rFonts w:ascii="Times New Roman" w:hAnsi="Times New Roman" w:cs="Times New Roman"/>
          <w:i/>
          <w:iCs/>
          <w:sz w:val="24"/>
          <w:szCs w:val="24"/>
        </w:rPr>
        <w:t>profit-oriented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77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B2771">
        <w:rPr>
          <w:rFonts w:ascii="Times New Roman" w:hAnsi="Times New Roman" w:cs="Times New Roman"/>
          <w:sz w:val="24"/>
          <w:szCs w:val="24"/>
        </w:rPr>
        <w:t xml:space="preserve"> </w:t>
      </w:r>
      <w:r w:rsidRPr="006E7A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E7A07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6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6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A0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6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A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E7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EE5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01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E501C"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melalui</w:t>
      </w:r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 Tindakan</w:t>
      </w:r>
      <w:r w:rsidRPr="00C74C5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Pr="00C74C54">
        <w:rPr>
          <w:rFonts w:ascii="Times New Roman" w:hAnsi="Times New Roman" w:cs="Times New Roman"/>
          <w:sz w:val="24"/>
          <w:szCs w:val="24"/>
        </w:rPr>
        <w:t xml:space="preserve"> legal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melalui</w:t>
      </w:r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(</w:t>
      </w:r>
      <w:r w:rsidRPr="00C74C54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C74C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melalui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5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74C54">
        <w:rPr>
          <w:rFonts w:ascii="Times New Roman" w:hAnsi="Times New Roman" w:cs="Times New Roman"/>
          <w:sz w:val="24"/>
          <w:szCs w:val="24"/>
        </w:rPr>
        <w:t xml:space="preserve"> (</w:t>
      </w:r>
      <w:r w:rsidRPr="00C74C54">
        <w:rPr>
          <w:rFonts w:ascii="Times New Roman" w:hAnsi="Times New Roman" w:cs="Times New Roman"/>
          <w:i/>
          <w:iCs/>
          <w:sz w:val="24"/>
          <w:szCs w:val="24"/>
        </w:rPr>
        <w:t>tax evasion</w:t>
      </w:r>
      <w:r w:rsidRPr="00C74C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0250B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Pr="00D05B8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Hal ini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>-perusahaan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</w:p>
    <w:p w14:paraId="0039EDFE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PricewaterhouseCoopers</w:t>
      </w:r>
      <w:r w:rsidRPr="00D05B8C">
        <w:rPr>
          <w:rFonts w:ascii="Times New Roman" w:hAnsi="Times New Roman" w:cs="Times New Roman"/>
          <w:sz w:val="24"/>
          <w:szCs w:val="24"/>
        </w:rPr>
        <w:t xml:space="preserve"> (PwC) Indonesia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"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Mine 2021 Great Expectations, Seizing Tomorrow</w:t>
      </w:r>
      <w:r w:rsidRPr="00D05B8C">
        <w:rPr>
          <w:rFonts w:ascii="Times New Roman" w:hAnsi="Times New Roman" w:cs="Times New Roman"/>
          <w:sz w:val="24"/>
          <w:szCs w:val="24"/>
        </w:rPr>
        <w:t xml:space="preserve">", hanya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belum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5F51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FF5F51">
        <w:rPr>
          <w:rFonts w:ascii="Times New Roman" w:hAnsi="Times New Roman" w:cs="Times New Roman"/>
          <w:sz w:val="24"/>
          <w:szCs w:val="24"/>
        </w:rPr>
        <w:t xml:space="preserve">. </w:t>
      </w:r>
      <w:r w:rsidRPr="00725BC0">
        <w:rPr>
          <w:rFonts w:ascii="Times New Roman" w:hAnsi="Times New Roman" w:cs="Times New Roman"/>
          <w:sz w:val="24"/>
          <w:szCs w:val="24"/>
        </w:rPr>
        <w:t xml:space="preserve">Selain itu,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yang dalam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(SPT)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penghematan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>.</w:t>
      </w:r>
    </w:p>
    <w:p w14:paraId="496BD854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BC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di Indonesia, seperti PT. Adaro Energy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. dan PT.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Kaltim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Prima Coal (KPC), yang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C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25BC0">
        <w:rPr>
          <w:rFonts w:ascii="Times New Roman" w:hAnsi="Times New Roman" w:cs="Times New Roman"/>
          <w:sz w:val="24"/>
          <w:szCs w:val="24"/>
        </w:rPr>
        <w:t xml:space="preserve"> negara.</w:t>
      </w:r>
      <w:bookmarkStart w:id="5" w:name="_Toc137594420"/>
      <w:bookmarkStart w:id="6" w:name="_Toc137837782"/>
      <w:bookmarkStart w:id="7" w:name="_Toc141838779"/>
      <w:bookmarkStart w:id="8" w:name="_Toc142035975"/>
      <w:bookmarkEnd w:id="4"/>
    </w:p>
    <w:p w14:paraId="4956EB0E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F28FB0" w14:textId="77777777" w:rsidR="00CF49E6" w:rsidRDefault="00CF49E6" w:rsidP="00CF4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F0E35" w14:textId="77777777" w:rsidR="00CF49E6" w:rsidRPr="00391A80" w:rsidRDefault="00CF49E6" w:rsidP="00CF49E6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46576349"/>
      <w:r w:rsidRPr="00D05B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  </w:t>
      </w:r>
      <w:r w:rsidRPr="00D0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D05B8C">
        <w:rPr>
          <w:rFonts w:ascii="Times New Roman" w:hAnsi="Times New Roman" w:cs="Times New Roman"/>
          <w:b/>
          <w:bCs/>
          <w:sz w:val="24"/>
          <w:szCs w:val="24"/>
        </w:rPr>
        <w:instrText xml:space="preserve"> SEQ Tabel_ \* ARABIC </w:instrText>
      </w:r>
      <w:r w:rsidRPr="00D0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D0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.1 Kasus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Penghindaran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Pajak Perusahaan Sektor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Pertambangan</w:t>
      </w:r>
      <w:bookmarkEnd w:id="5"/>
      <w:bookmarkEnd w:id="6"/>
      <w:bookmarkEnd w:id="7"/>
      <w:bookmarkEnd w:id="8"/>
      <w:bookmarkEnd w:id="9"/>
      <w:proofErr w:type="spellEnd"/>
    </w:p>
    <w:tbl>
      <w:tblPr>
        <w:tblStyle w:val="TableGrid"/>
        <w:tblW w:w="7645" w:type="dxa"/>
        <w:tblInd w:w="756" w:type="dxa"/>
        <w:tblLook w:val="04A0" w:firstRow="1" w:lastRow="0" w:firstColumn="1" w:lastColumn="0" w:noHBand="0" w:noVBand="1"/>
      </w:tblPr>
      <w:tblGrid>
        <w:gridCol w:w="692"/>
        <w:gridCol w:w="1571"/>
        <w:gridCol w:w="5382"/>
      </w:tblGrid>
      <w:tr w:rsidR="00CF49E6" w:rsidRPr="00E209F8" w14:paraId="6734AF9C" w14:textId="77777777" w:rsidTr="004856E6">
        <w:trPr>
          <w:trHeight w:val="782"/>
        </w:trPr>
        <w:tc>
          <w:tcPr>
            <w:tcW w:w="692" w:type="dxa"/>
            <w:vAlign w:val="center"/>
          </w:tcPr>
          <w:p w14:paraId="4550D4BB" w14:textId="77777777" w:rsidR="00CF49E6" w:rsidRPr="00E209F8" w:rsidRDefault="00CF49E6" w:rsidP="004856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71" w:type="dxa"/>
            <w:vAlign w:val="center"/>
          </w:tcPr>
          <w:p w14:paraId="48FDDCBB" w14:textId="77777777" w:rsidR="00CF49E6" w:rsidRPr="00E209F8" w:rsidRDefault="00CF49E6" w:rsidP="004856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  <w:tc>
          <w:tcPr>
            <w:tcW w:w="5382" w:type="dxa"/>
            <w:vAlign w:val="center"/>
          </w:tcPr>
          <w:p w14:paraId="4E09C0C2" w14:textId="77777777" w:rsidR="00CF49E6" w:rsidRPr="00E209F8" w:rsidRDefault="00CF49E6" w:rsidP="004856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Kasus Perusahaan</w:t>
            </w:r>
          </w:p>
        </w:tc>
      </w:tr>
      <w:tr w:rsidR="00CF49E6" w:rsidRPr="00E209F8" w14:paraId="01F177F0" w14:textId="77777777" w:rsidTr="004856E6">
        <w:trPr>
          <w:trHeight w:val="4698"/>
        </w:trPr>
        <w:tc>
          <w:tcPr>
            <w:tcW w:w="692" w:type="dxa"/>
            <w:vAlign w:val="center"/>
          </w:tcPr>
          <w:p w14:paraId="6B41EB68" w14:textId="77777777" w:rsidR="00CF49E6" w:rsidRPr="00E209F8" w:rsidRDefault="00CF49E6" w:rsidP="00485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vAlign w:val="center"/>
          </w:tcPr>
          <w:p w14:paraId="5AF0D8A9" w14:textId="77777777" w:rsidR="00CF49E6" w:rsidRPr="00E209F8" w:rsidRDefault="00CF49E6" w:rsidP="00485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PT.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Kaltim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Prima Coal (KPC) (2007)</w:t>
            </w:r>
          </w:p>
        </w:tc>
        <w:tc>
          <w:tcPr>
            <w:tcW w:w="5382" w:type="dxa"/>
            <w:vAlign w:val="center"/>
          </w:tcPr>
          <w:p w14:paraId="64B4AA2D" w14:textId="77777777" w:rsidR="00CF49E6" w:rsidRPr="00E209F8" w:rsidRDefault="00CF49E6" w:rsidP="004856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transfer pricing</w:t>
            </w:r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batubara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pasar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terafiliasi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KPC,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PT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Indocoal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Resources Ltd.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batubara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ini hanya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dinilai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separuh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yang KPC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kenakan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pembeli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, PT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Indocoal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batubara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ke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pembeli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lain dengan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oleh KPC.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Akibatnya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omset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batubara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KPC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Rp 1,7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triliun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9E6" w:rsidRPr="00E209F8" w14:paraId="7A88B5AC" w14:textId="77777777" w:rsidTr="004856E6">
        <w:trPr>
          <w:trHeight w:val="4205"/>
        </w:trPr>
        <w:tc>
          <w:tcPr>
            <w:tcW w:w="692" w:type="dxa"/>
            <w:vAlign w:val="center"/>
          </w:tcPr>
          <w:p w14:paraId="2792E1C5" w14:textId="77777777" w:rsidR="00CF49E6" w:rsidRPr="00E209F8" w:rsidRDefault="00CF49E6" w:rsidP="00485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dxa"/>
            <w:vAlign w:val="center"/>
          </w:tcPr>
          <w:p w14:paraId="48EC0328" w14:textId="77777777" w:rsidR="00CF49E6" w:rsidRPr="00E209F8" w:rsidRDefault="00CF49E6" w:rsidP="004856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PT. Adaro Energy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. (2019)</w:t>
            </w:r>
          </w:p>
        </w:tc>
        <w:tc>
          <w:tcPr>
            <w:tcW w:w="5382" w:type="dxa"/>
            <w:vAlign w:val="center"/>
          </w:tcPr>
          <w:p w14:paraId="2141F60B" w14:textId="77777777" w:rsidR="00CF49E6" w:rsidRPr="00E209F8" w:rsidRDefault="00CF49E6" w:rsidP="004856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penghindaran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skema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9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transfer pricing</w:t>
            </w:r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2017, PT Adaro Energy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diduga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mengalihkan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batubara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di Indonesia melalui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usahanya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di Singapura (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Coaltrade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Services International Pte. Ltd.) dengan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transfer yang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pasar yang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wajar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Akibatnya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dibayarkan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oleh PT Adaro Energy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. US$ 125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juta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seharusnya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>dibayarkan</w:t>
            </w:r>
            <w:proofErr w:type="spellEnd"/>
            <w:r w:rsidRPr="00E209F8">
              <w:rPr>
                <w:rFonts w:ascii="Times New Roman" w:hAnsi="Times New Roman" w:cs="Times New Roman"/>
                <w:sz w:val="24"/>
                <w:szCs w:val="24"/>
              </w:rPr>
              <w:t xml:space="preserve"> di Indonesia.</w:t>
            </w:r>
          </w:p>
        </w:tc>
      </w:tr>
    </w:tbl>
    <w:p w14:paraId="69AE71BB" w14:textId="77777777" w:rsidR="00CF49E6" w:rsidRDefault="00CF49E6" w:rsidP="00CF49E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F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209F8">
        <w:rPr>
          <w:rFonts w:ascii="Times New Roman" w:hAnsi="Times New Roman" w:cs="Times New Roman"/>
          <w:sz w:val="24"/>
          <w:szCs w:val="24"/>
        </w:rPr>
        <w:t>:</w:t>
      </w:r>
    </w:p>
    <w:p w14:paraId="644E02A6" w14:textId="7D13ACE8" w:rsidR="00CF49E6" w:rsidRPr="00CF49E6" w:rsidRDefault="00000000" w:rsidP="00CF49E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F49E6" w:rsidRPr="00CF49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http://www.pajak.go.id/content/penghindaran-pajak-perusahaanglobal-di-dunia</w:t>
        </w:r>
      </w:hyperlink>
    </w:p>
    <w:p w14:paraId="1FC893D7" w14:textId="77777777" w:rsidR="00CF49E6" w:rsidRDefault="00CF49E6" w:rsidP="00CF49E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DC6A68" w14:textId="77777777" w:rsidR="00CF49E6" w:rsidRPr="00D05B8C" w:rsidRDefault="00CF49E6" w:rsidP="00CF49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EB06AC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 xml:space="preserve">Kasus ini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transfer pricing</w:t>
      </w:r>
      <w:r w:rsidRPr="00D05B8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ini tidak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negara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BEE17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E5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seperti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bagian</w:t>
      </w:r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E5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04E5C">
        <w:rPr>
          <w:rFonts w:ascii="Times New Roman" w:hAnsi="Times New Roman" w:cs="Times New Roman"/>
          <w:sz w:val="24"/>
          <w:szCs w:val="24"/>
        </w:rPr>
        <w:t xml:space="preserve">. </w:t>
      </w:r>
      <w:r w:rsidRPr="00D05B8C">
        <w:rPr>
          <w:rFonts w:ascii="Times New Roman" w:hAnsi="Times New Roman" w:cs="Times New Roman"/>
          <w:sz w:val="24"/>
          <w:szCs w:val="24"/>
        </w:rPr>
        <w:t xml:space="preserve">Investor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dalam pasar modal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</w:t>
      </w:r>
      <w:r w:rsidRPr="00004E5C">
        <w:rPr>
          <w:rFonts w:ascii="Times New Roman" w:hAnsi="Times New Roman" w:cs="Times New Roman"/>
          <w:sz w:val="24"/>
          <w:szCs w:val="24"/>
        </w:rPr>
        <w:t xml:space="preserve"> </w:t>
      </w:r>
      <w:r w:rsidRPr="00840AFB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atau tidak dalam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FB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840AFB">
        <w:rPr>
          <w:rFonts w:ascii="Times New Roman" w:hAnsi="Times New Roman" w:cs="Times New Roman"/>
          <w:sz w:val="24"/>
          <w:szCs w:val="24"/>
        </w:rPr>
        <w:t>.</w:t>
      </w:r>
    </w:p>
    <w:p w14:paraId="3C99E0FE" w14:textId="77777777" w:rsidR="00CF49E6" w:rsidRPr="00D05B8C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 xml:space="preserve">Selain itu,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 xml:space="preserve">inventory intensity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05B8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juga. </w:t>
      </w:r>
      <w:r w:rsidRPr="00E33995">
        <w:rPr>
          <w:rFonts w:ascii="Times New Roman" w:hAnsi="Times New Roman" w:cs="Times New Roman"/>
          <w:sz w:val="24"/>
          <w:szCs w:val="24"/>
        </w:rPr>
        <w:t xml:space="preserve">Hal ini </w:t>
      </w:r>
      <w:proofErr w:type="spellStart"/>
      <w:r w:rsidRPr="00E339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9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3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3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9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E3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995">
        <w:rPr>
          <w:rFonts w:ascii="Times New Roman" w:hAnsi="Times New Roman" w:cs="Times New Roman"/>
          <w:sz w:val="24"/>
          <w:szCs w:val="24"/>
        </w:rPr>
        <w:t>pajak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melalui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</w:p>
    <w:p w14:paraId="765934D4" w14:textId="77777777" w:rsidR="00CF49E6" w:rsidRPr="00D05B8C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D05B8C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keuangan juga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i/>
          <w:iCs/>
          <w:sz w:val="24"/>
          <w:szCs w:val="24"/>
        </w:rPr>
        <w:t>. Financial distress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E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B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E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E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0E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0E43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3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utang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lastRenderedPageBreak/>
        <w:t>terganggu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atau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kebangkrutan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</w:t>
      </w:r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untuk</w:t>
      </w:r>
      <w:r w:rsidRPr="00D05B8C">
        <w:rPr>
          <w:rFonts w:ascii="Times New Roman" w:hAnsi="Times New Roman" w:cs="Times New Roman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melatarbelakangi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agresif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  <w:r w:rsidRPr="00D05B8C">
        <w:rPr>
          <w:rFonts w:ascii="Times New Roman" w:hAnsi="Times New Roman" w:cs="Times New Roman"/>
        </w:rPr>
        <w:t xml:space="preserve"> </w:t>
      </w:r>
    </w:p>
    <w:p w14:paraId="574CB0EF" w14:textId="77777777" w:rsidR="00CF49E6" w:rsidRPr="00D05B8C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10" w:name="_Hlk121220147"/>
      <w:bookmarkStart w:id="11" w:name="_Hlk141662544"/>
      <w:bookmarkStart w:id="12" w:name="_Hlk141395849"/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Proporsi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Hlk132509715"/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Kepemilikan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Inventory Intensity</w:t>
      </w:r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, dan </w:t>
      </w:r>
      <w:r w:rsidRPr="00D0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Financial Distress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Tindakan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Pajak</w:t>
      </w:r>
      <w:bookmarkEnd w:id="10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Pada Perusahaan Sektor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b/>
          <w:bCs/>
          <w:sz w:val="24"/>
          <w:szCs w:val="24"/>
        </w:rPr>
        <w:t xml:space="preserve"> 2018-2022</w:t>
      </w:r>
      <w:bookmarkEnd w:id="13"/>
      <w:r w:rsidRPr="00D05B8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1"/>
      <w:r w:rsidRPr="00D05B8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42CADD9" w14:textId="77777777" w:rsidR="00CF49E6" w:rsidRPr="00D05B8C" w:rsidRDefault="00CF49E6" w:rsidP="00CF49E6">
      <w:pPr>
        <w:pStyle w:val="Heading2"/>
        <w:spacing w:line="360" w:lineRule="auto"/>
        <w:jc w:val="both"/>
        <w:rPr>
          <w:rFonts w:cs="Times New Roman"/>
          <w:szCs w:val="24"/>
        </w:rPr>
      </w:pPr>
      <w:bookmarkStart w:id="14" w:name="_Toc142035896"/>
      <w:bookmarkStart w:id="15" w:name="_Toc146576239"/>
      <w:bookmarkEnd w:id="12"/>
      <w:proofErr w:type="spellStart"/>
      <w:r w:rsidRPr="00D05B8C">
        <w:rPr>
          <w:rFonts w:cs="Times New Roman"/>
          <w:szCs w:val="24"/>
        </w:rPr>
        <w:t>Pembatasan</w:t>
      </w:r>
      <w:proofErr w:type="spellEnd"/>
      <w:r w:rsidRPr="00D05B8C">
        <w:rPr>
          <w:rFonts w:cs="Times New Roman"/>
          <w:szCs w:val="24"/>
        </w:rPr>
        <w:t xml:space="preserve"> Masalah</w:t>
      </w:r>
      <w:bookmarkEnd w:id="14"/>
      <w:bookmarkEnd w:id="15"/>
    </w:p>
    <w:p w14:paraId="31161C53" w14:textId="77777777" w:rsidR="00CF49E6" w:rsidRDefault="00CF49E6" w:rsidP="00CF49E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tidak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hanya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inventory intensity</w:t>
      </w:r>
      <w:r w:rsidRPr="00D05B8C">
        <w:rPr>
          <w:rFonts w:ascii="Times New Roman" w:hAnsi="Times New Roman" w:cs="Times New Roman"/>
          <w:sz w:val="24"/>
          <w:szCs w:val="24"/>
        </w:rPr>
        <w:t xml:space="preserve">, dan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 xml:space="preserve">financial distress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3849625C" w14:textId="77777777" w:rsidR="00CF49E6" w:rsidRPr="00D05B8C" w:rsidRDefault="00CF49E6" w:rsidP="00CF49E6">
      <w:pPr>
        <w:pStyle w:val="Heading2"/>
        <w:spacing w:line="360" w:lineRule="auto"/>
        <w:jc w:val="both"/>
        <w:rPr>
          <w:rFonts w:cs="Times New Roman"/>
          <w:szCs w:val="24"/>
        </w:rPr>
      </w:pPr>
      <w:bookmarkStart w:id="16" w:name="_Toc142035897"/>
      <w:bookmarkStart w:id="17" w:name="_Toc146576240"/>
      <w:proofErr w:type="spellStart"/>
      <w:r w:rsidRPr="00D05B8C">
        <w:rPr>
          <w:rFonts w:cs="Times New Roman"/>
          <w:szCs w:val="24"/>
        </w:rPr>
        <w:t>Rumusan</w:t>
      </w:r>
      <w:proofErr w:type="spellEnd"/>
      <w:r w:rsidRPr="00D05B8C">
        <w:rPr>
          <w:rFonts w:cs="Times New Roman"/>
          <w:szCs w:val="24"/>
        </w:rPr>
        <w:t xml:space="preserve"> Masalah</w:t>
      </w:r>
      <w:bookmarkEnd w:id="16"/>
      <w:bookmarkEnd w:id="17"/>
    </w:p>
    <w:p w14:paraId="724F44D3" w14:textId="77777777" w:rsidR="00CF49E6" w:rsidRPr="00D05B8C" w:rsidRDefault="00CF49E6" w:rsidP="00CF49E6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1057F3" w14:textId="77777777" w:rsidR="00CF49E6" w:rsidRPr="00D05B8C" w:rsidRDefault="00CF49E6" w:rsidP="00CF49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2018-2022?</w:t>
      </w:r>
    </w:p>
    <w:p w14:paraId="1C0AE484" w14:textId="77777777" w:rsidR="00CF49E6" w:rsidRPr="00D05B8C" w:rsidRDefault="00CF49E6" w:rsidP="00CF49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inventory intensity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2018-2022?</w:t>
      </w:r>
    </w:p>
    <w:p w14:paraId="68ED4A42" w14:textId="77777777" w:rsidR="00CF49E6" w:rsidRPr="00D05B8C" w:rsidRDefault="00CF49E6" w:rsidP="00CF49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 xml:space="preserve">financial distress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2018-2022?</w:t>
      </w:r>
    </w:p>
    <w:p w14:paraId="7246A98E" w14:textId="77777777" w:rsidR="00CF49E6" w:rsidRPr="00D05B8C" w:rsidRDefault="00CF49E6" w:rsidP="00CF49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inventory intensity</w:t>
      </w:r>
      <w:r w:rsidRPr="00D05B8C">
        <w:rPr>
          <w:rFonts w:ascii="Times New Roman" w:hAnsi="Times New Roman" w:cs="Times New Roman"/>
          <w:sz w:val="24"/>
          <w:szCs w:val="24"/>
        </w:rPr>
        <w:t xml:space="preserve">, dan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 xml:space="preserve">financial distress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2018-2022?</w:t>
      </w:r>
    </w:p>
    <w:p w14:paraId="1BE395CA" w14:textId="77777777" w:rsidR="00CF49E6" w:rsidRPr="00D05B8C" w:rsidRDefault="00CF49E6" w:rsidP="00CF49E6">
      <w:pPr>
        <w:pStyle w:val="Heading2"/>
        <w:spacing w:line="360" w:lineRule="auto"/>
        <w:jc w:val="both"/>
        <w:rPr>
          <w:rFonts w:cs="Times New Roman"/>
          <w:szCs w:val="24"/>
        </w:rPr>
      </w:pPr>
      <w:bookmarkStart w:id="18" w:name="_Toc142035898"/>
      <w:bookmarkStart w:id="19" w:name="_Toc146576241"/>
      <w:r w:rsidRPr="00D05B8C">
        <w:rPr>
          <w:rFonts w:cs="Times New Roman"/>
          <w:szCs w:val="24"/>
        </w:rPr>
        <w:t xml:space="preserve">Tujuan </w:t>
      </w:r>
      <w:proofErr w:type="spellStart"/>
      <w:r w:rsidRPr="00D05B8C">
        <w:rPr>
          <w:rFonts w:cs="Times New Roman"/>
          <w:szCs w:val="24"/>
        </w:rPr>
        <w:t>Penelitian</w:t>
      </w:r>
      <w:bookmarkEnd w:id="18"/>
      <w:bookmarkEnd w:id="19"/>
      <w:proofErr w:type="spellEnd"/>
    </w:p>
    <w:p w14:paraId="04F61AC3" w14:textId="77777777" w:rsidR="00CF49E6" w:rsidRPr="00D05B8C" w:rsidRDefault="00CF49E6" w:rsidP="00CF49E6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untuk:</w:t>
      </w:r>
    </w:p>
    <w:p w14:paraId="706D5D0A" w14:textId="77777777" w:rsidR="00CF49E6" w:rsidRPr="00D05B8C" w:rsidRDefault="00CF49E6" w:rsidP="00CF49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2E973D4C" w14:textId="77777777" w:rsidR="00CF49E6" w:rsidRPr="00D05B8C" w:rsidRDefault="00CF49E6" w:rsidP="00CF49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inventory intensity</w:t>
      </w:r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7B175F67" w14:textId="77777777" w:rsidR="00CF49E6" w:rsidRPr="00D05B8C" w:rsidRDefault="00CF49E6" w:rsidP="00CF49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 xml:space="preserve">financial distress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4AB3E79B" w14:textId="77777777" w:rsidR="00CF49E6" w:rsidRDefault="00CF49E6" w:rsidP="00CF49E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inventory intensity</w:t>
      </w:r>
      <w:r w:rsidRPr="00D05B8C">
        <w:rPr>
          <w:rFonts w:ascii="Times New Roman" w:hAnsi="Times New Roman" w:cs="Times New Roman"/>
          <w:sz w:val="24"/>
          <w:szCs w:val="24"/>
        </w:rPr>
        <w:t xml:space="preserve">, dan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 xml:space="preserve">financial distress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2018-2022.</w:t>
      </w:r>
    </w:p>
    <w:p w14:paraId="1F113D0A" w14:textId="77777777" w:rsidR="00CF49E6" w:rsidRDefault="00CF49E6" w:rsidP="00CF4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0A8FF" w14:textId="77777777" w:rsidR="00CF49E6" w:rsidRPr="00CF49E6" w:rsidRDefault="00CF49E6" w:rsidP="00CF4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90271" w14:textId="77777777" w:rsidR="00CF49E6" w:rsidRPr="00D05B8C" w:rsidRDefault="00CF49E6" w:rsidP="00CF49E6">
      <w:pPr>
        <w:pStyle w:val="Heading2"/>
        <w:spacing w:line="360" w:lineRule="auto"/>
        <w:jc w:val="both"/>
        <w:rPr>
          <w:rFonts w:cs="Times New Roman"/>
          <w:szCs w:val="24"/>
        </w:rPr>
      </w:pPr>
      <w:bookmarkStart w:id="20" w:name="_Toc142035899"/>
      <w:bookmarkStart w:id="21" w:name="_Toc146576242"/>
      <w:proofErr w:type="spellStart"/>
      <w:r w:rsidRPr="00D05B8C">
        <w:rPr>
          <w:rFonts w:cs="Times New Roman"/>
          <w:szCs w:val="24"/>
        </w:rPr>
        <w:lastRenderedPageBreak/>
        <w:t>Kegunaan</w:t>
      </w:r>
      <w:proofErr w:type="spellEnd"/>
      <w:r w:rsidRPr="00D05B8C">
        <w:rPr>
          <w:rFonts w:cs="Times New Roman"/>
          <w:szCs w:val="24"/>
        </w:rPr>
        <w:t xml:space="preserve"> </w:t>
      </w:r>
      <w:proofErr w:type="spellStart"/>
      <w:r w:rsidRPr="00D05B8C">
        <w:rPr>
          <w:rFonts w:cs="Times New Roman"/>
          <w:szCs w:val="24"/>
        </w:rPr>
        <w:t>Penelitian</w:t>
      </w:r>
      <w:bookmarkEnd w:id="20"/>
      <w:bookmarkEnd w:id="21"/>
      <w:proofErr w:type="spellEnd"/>
    </w:p>
    <w:p w14:paraId="246FA0CA" w14:textId="77777777" w:rsidR="00CF49E6" w:rsidRPr="00D05B8C" w:rsidRDefault="00CF49E6" w:rsidP="00CF49E6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78230C" w14:textId="77777777" w:rsidR="00CF49E6" w:rsidRPr="00D05B8C" w:rsidRDefault="00CF49E6" w:rsidP="00CF49E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40E57001" w14:textId="77777777" w:rsidR="00CF49E6" w:rsidRPr="002B6B95" w:rsidRDefault="00CF49E6" w:rsidP="00CF49E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 xml:space="preserve">inventory intensity, </w:t>
      </w:r>
      <w:r w:rsidRPr="00D05B8C">
        <w:rPr>
          <w:rFonts w:ascii="Times New Roman" w:hAnsi="Times New Roman" w:cs="Times New Roman"/>
          <w:sz w:val="24"/>
          <w:szCs w:val="24"/>
        </w:rPr>
        <w:t xml:space="preserve">dan </w:t>
      </w:r>
      <w:r w:rsidRPr="00D05B8C">
        <w:rPr>
          <w:rFonts w:ascii="Times New Roman" w:hAnsi="Times New Roman" w:cs="Times New Roman"/>
          <w:i/>
          <w:iCs/>
          <w:sz w:val="24"/>
          <w:szCs w:val="24"/>
        </w:rPr>
        <w:t>financial distress</w:t>
      </w:r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akuntansi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Selain itu,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</w:p>
    <w:p w14:paraId="3D06BEBD" w14:textId="77777777" w:rsidR="00CF49E6" w:rsidRPr="00D05B8C" w:rsidRDefault="00CF49E6" w:rsidP="00CF49E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46D03379" w14:textId="77777777" w:rsidR="00CF49E6" w:rsidRPr="00D05B8C" w:rsidRDefault="00CF49E6" w:rsidP="00CF49E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Perusahaan</w:t>
      </w:r>
    </w:p>
    <w:p w14:paraId="3C53887E" w14:textId="77777777" w:rsidR="00CF49E6" w:rsidRPr="00D05B8C" w:rsidRDefault="00CF49E6" w:rsidP="00CF49E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Indonesia dalam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>.</w:t>
      </w:r>
    </w:p>
    <w:p w14:paraId="6BA813F3" w14:textId="77777777" w:rsidR="00CF49E6" w:rsidRPr="00D05B8C" w:rsidRDefault="00CF49E6" w:rsidP="00CF49E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24ABD" w14:textId="77777777" w:rsidR="00CF49E6" w:rsidRPr="00D05B8C" w:rsidRDefault="00CF49E6" w:rsidP="00CF49E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D03E6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03E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D03E6">
        <w:rPr>
          <w:rFonts w:ascii="Times New Roman" w:hAnsi="Times New Roman" w:cs="Times New Roman"/>
          <w:sz w:val="24"/>
          <w:szCs w:val="24"/>
        </w:rPr>
        <w:t>.</w:t>
      </w:r>
    </w:p>
    <w:p w14:paraId="1AC9F913" w14:textId="77777777" w:rsidR="00CF49E6" w:rsidRPr="00D05B8C" w:rsidRDefault="00CF49E6" w:rsidP="00CF49E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hAnsi="Times New Roman" w:cs="Times New Roman"/>
          <w:sz w:val="24"/>
          <w:szCs w:val="24"/>
        </w:rPr>
        <w:t>Bagi Akademik</w:t>
      </w:r>
    </w:p>
    <w:p w14:paraId="5164FB29" w14:textId="77777777" w:rsidR="00CF49E6" w:rsidRDefault="00CF49E6" w:rsidP="00CF49E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05B8C">
        <w:rPr>
          <w:rFonts w:ascii="Times New Roman" w:eastAsia="Times New Roman" w:hAnsi="Times New Roman" w:cs="Times New Roman"/>
          <w:sz w:val="24"/>
          <w:szCs w:val="24"/>
          <w:lang w:val="id-ID"/>
        </w:rPr>
        <w:t>Hasil penelitian ini dapat</w:t>
      </w:r>
      <w:r w:rsidRPr="00D05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D05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Pr="00D05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B8C"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D05B8C">
        <w:rPr>
          <w:rFonts w:ascii="Times New Roman" w:hAnsi="Times New Roman" w:cs="Times New Roman"/>
          <w:sz w:val="24"/>
          <w:szCs w:val="24"/>
        </w:rPr>
        <w:t xml:space="preserve"> di Indonesia. </w:t>
      </w:r>
      <w:r w:rsidRPr="00B044E7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E7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B044E7">
        <w:rPr>
          <w:rFonts w:ascii="Times New Roman" w:hAnsi="Times New Roman" w:cs="Times New Roman"/>
          <w:sz w:val="24"/>
          <w:szCs w:val="24"/>
        </w:rPr>
        <w:t>.</w:t>
      </w:r>
    </w:p>
    <w:p w14:paraId="7C2FC083" w14:textId="77777777" w:rsidR="009F1DF5" w:rsidRDefault="009F1DF5"/>
    <w:sectPr w:rsidR="009F1DF5" w:rsidSect="00CF4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BFCE" w14:textId="77777777" w:rsidR="00321510" w:rsidRDefault="00321510" w:rsidP="0051177D">
      <w:pPr>
        <w:spacing w:after="0" w:line="240" w:lineRule="auto"/>
      </w:pPr>
      <w:r>
        <w:separator/>
      </w:r>
    </w:p>
  </w:endnote>
  <w:endnote w:type="continuationSeparator" w:id="0">
    <w:p w14:paraId="7764F569" w14:textId="77777777" w:rsidR="00321510" w:rsidRDefault="00321510" w:rsidP="0051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E11B" w14:textId="77777777" w:rsidR="0051177D" w:rsidRDefault="00511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418F" w14:textId="77777777" w:rsidR="0051177D" w:rsidRDefault="00511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A5F2" w14:textId="77777777" w:rsidR="0051177D" w:rsidRDefault="00511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F3B7" w14:textId="77777777" w:rsidR="00321510" w:rsidRDefault="00321510" w:rsidP="0051177D">
      <w:pPr>
        <w:spacing w:after="0" w:line="240" w:lineRule="auto"/>
      </w:pPr>
      <w:r>
        <w:separator/>
      </w:r>
    </w:p>
  </w:footnote>
  <w:footnote w:type="continuationSeparator" w:id="0">
    <w:p w14:paraId="73E09F1F" w14:textId="77777777" w:rsidR="00321510" w:rsidRDefault="00321510" w:rsidP="0051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5C16" w14:textId="5128B405" w:rsidR="0051177D" w:rsidRDefault="0051177D">
    <w:pPr>
      <w:pStyle w:val="Header"/>
    </w:pPr>
    <w:r>
      <w:rPr>
        <w:noProof/>
      </w:rPr>
      <w:pict w14:anchorId="218F0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13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482" w14:textId="085208ED" w:rsidR="0051177D" w:rsidRDefault="0051177D">
    <w:pPr>
      <w:pStyle w:val="Header"/>
    </w:pPr>
    <w:r>
      <w:rPr>
        <w:noProof/>
      </w:rPr>
      <w:pict w14:anchorId="4E2D2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13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F7AE" w14:textId="0C72C701" w:rsidR="0051177D" w:rsidRDefault="0051177D">
    <w:pPr>
      <w:pStyle w:val="Header"/>
    </w:pPr>
    <w:r>
      <w:rPr>
        <w:noProof/>
      </w:rPr>
      <w:pict w14:anchorId="2A491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13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84C"/>
    <w:multiLevelType w:val="hybridMultilevel"/>
    <w:tmpl w:val="3F5AD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D2593"/>
    <w:multiLevelType w:val="hybridMultilevel"/>
    <w:tmpl w:val="A912CCC2"/>
    <w:lvl w:ilvl="0" w:tplc="ECBC9E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6FC0"/>
    <w:multiLevelType w:val="hybridMultilevel"/>
    <w:tmpl w:val="8940CF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A2504"/>
    <w:multiLevelType w:val="multilevel"/>
    <w:tmpl w:val="F55462D2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630" w:hanging="360"/>
      </w:pPr>
      <w:rPr>
        <w:rFonts w:hint="default"/>
        <w:i w:val="0"/>
        <w:i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821255F"/>
    <w:multiLevelType w:val="hybridMultilevel"/>
    <w:tmpl w:val="A074FFFA"/>
    <w:lvl w:ilvl="0" w:tplc="E6724D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871344">
    <w:abstractNumId w:val="3"/>
  </w:num>
  <w:num w:numId="2" w16cid:durableId="1936590290">
    <w:abstractNumId w:val="4"/>
  </w:num>
  <w:num w:numId="3" w16cid:durableId="2091465154">
    <w:abstractNumId w:val="1"/>
  </w:num>
  <w:num w:numId="4" w16cid:durableId="128136513">
    <w:abstractNumId w:val="0"/>
  </w:num>
  <w:num w:numId="5" w16cid:durableId="115653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5JkViNcrHWdk5fsx462sn8j8tesCcdn33YXXhhgFYgMjm3iKsqJT1PvYSgh8lACIkI4GNtzxmE2uLz8ni0gQ==" w:salt="063w+0pvq13q/tt2+jDJD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9E6"/>
    <w:rsid w:val="001C366F"/>
    <w:rsid w:val="00204728"/>
    <w:rsid w:val="00245B89"/>
    <w:rsid w:val="00321510"/>
    <w:rsid w:val="003F6B45"/>
    <w:rsid w:val="00422B34"/>
    <w:rsid w:val="0051177D"/>
    <w:rsid w:val="00511AB0"/>
    <w:rsid w:val="0083584C"/>
    <w:rsid w:val="008C3976"/>
    <w:rsid w:val="008F14C9"/>
    <w:rsid w:val="009F1966"/>
    <w:rsid w:val="009F1DF5"/>
    <w:rsid w:val="00B977F0"/>
    <w:rsid w:val="00C02B1F"/>
    <w:rsid w:val="00CF49E6"/>
    <w:rsid w:val="00D54ACE"/>
    <w:rsid w:val="00E611EB"/>
    <w:rsid w:val="00EB5F8A"/>
    <w:rsid w:val="00EC1CBD"/>
    <w:rsid w:val="00F74B00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CE69"/>
  <w15:chartTrackingRefBased/>
  <w15:docId w15:val="{EAFEE535-970D-440C-9E75-A5AA41ED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E6"/>
  </w:style>
  <w:style w:type="paragraph" w:styleId="Heading1">
    <w:name w:val="heading 1"/>
    <w:basedOn w:val="Normal"/>
    <w:next w:val="Normal"/>
    <w:link w:val="Heading1Char"/>
    <w:uiPriority w:val="9"/>
    <w:qFormat/>
    <w:rsid w:val="00CF49E6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9E6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9E6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E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49E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9E6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F49E6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CF49E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9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7D"/>
  </w:style>
  <w:style w:type="paragraph" w:styleId="Footer">
    <w:name w:val="footer"/>
    <w:basedOn w:val="Normal"/>
    <w:link w:val="FooterChar"/>
    <w:uiPriority w:val="99"/>
    <w:unhideWhenUsed/>
    <w:rsid w:val="00511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jak.go.id/content/penghindaran-pajak-perusahaanglobal-di-dun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A516EAO</dc:creator>
  <cp:keywords/>
  <dc:description/>
  <cp:lastModifiedBy>tsuraya ulfah</cp:lastModifiedBy>
  <cp:revision>2</cp:revision>
  <dcterms:created xsi:type="dcterms:W3CDTF">2023-09-25T17:05:00Z</dcterms:created>
  <dcterms:modified xsi:type="dcterms:W3CDTF">2023-10-12T04:28:00Z</dcterms:modified>
</cp:coreProperties>
</file>